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《无人值守快递驿站建设和管理指南》</w:t>
      </w:r>
    </w:p>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地方</w:t>
      </w:r>
      <w:r>
        <w:rPr>
          <w:rFonts w:hint="eastAsia" w:ascii="仿宋_GB2312" w:hAnsi="仿宋_GB2312" w:eastAsia="仿宋_GB2312" w:cs="仿宋_GB2312"/>
          <w:sz w:val="36"/>
          <w:szCs w:val="36"/>
        </w:rPr>
        <w:t>标准</w:t>
      </w:r>
      <w:r>
        <w:rPr>
          <w:rFonts w:hint="eastAsia" w:ascii="仿宋_GB2312" w:hAnsi="仿宋_GB2312" w:eastAsia="仿宋_GB2312" w:cs="仿宋_GB2312"/>
          <w:sz w:val="36"/>
          <w:szCs w:val="36"/>
        </w:rPr>
        <w:t>编制说明</w:t>
      </w:r>
    </w:p>
    <w:p>
      <w:pPr>
        <w:keepNext w:val="0"/>
        <w:keepLines w:val="0"/>
        <w:pageBreakBefore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一、项目背景</w:t>
      </w:r>
    </w:p>
    <w:p>
      <w:pPr>
        <w:keepNext w:val="0"/>
        <w:keepLines w:val="0"/>
        <w:pageBreakBefore w:val="0"/>
        <w:kinsoku/>
        <w:wordWrap/>
        <w:overflowPunct/>
        <w:topLinePunct w:val="0"/>
        <w:bidi w:val="0"/>
        <w:adjustRightInd/>
        <w:snapToGrid/>
        <w:spacing w:line="560" w:lineRule="exact"/>
        <w:ind w:firstLine="420" w:firstLineChars="1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（一）全省产业现状</w:t>
      </w:r>
    </w:p>
    <w:p>
      <w:pPr>
        <w:keepNext w:val="0"/>
        <w:keepLines w:val="0"/>
        <w:pageBreakBefore w:val="0"/>
        <w:kinsoku/>
        <w:wordWrap/>
        <w:overflowPunct/>
        <w:topLinePunct w:val="0"/>
        <w:bidi w:val="0"/>
        <w:adjustRightInd/>
        <w:snapToGrid/>
        <w:spacing w:line="560" w:lineRule="exact"/>
        <w:ind w:firstLine="420" w:firstLineChars="1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着我国经济回升向好，消费需求保持活力，在扩内需、稳增长系列政策利好下，今年以来快递业实现良好发展，国家邮政局数据显示，2024年上半年（截至6月30日）我国快递业务量达到800亿件，较去年同期增长23.1% ，月均业务量超130亿件</w:t>
      </w:r>
      <w:bookmarkStart w:id="0" w:name="_GoBack"/>
      <w:bookmarkEnd w:id="0"/>
      <w:r>
        <w:rPr>
          <w:rFonts w:hint="eastAsia" w:ascii="仿宋_GB2312" w:hAnsi="仿宋_GB2312" w:eastAsia="仿宋_GB2312" w:cs="仿宋_GB2312"/>
          <w:sz w:val="28"/>
          <w:szCs w:val="28"/>
        </w:rPr>
        <w:t>，为服务线上经济发展、促进产品要素流动提供了有力支撑。快递业务量的快速增长，也给快递驿站、快递柜等末端配送带来了新的机遇和挑战，末端配送作为物流链条中最贴近消费者的末梢神经也逐渐引起人们关注，用户取件时间与驿站营业时间难以协调、多个快件寻找麻烦、智能快递柜储存量和品类限制、成本高等问题逐渐凸显，现有末端配送模式难以满足人民日益增长的美好生活需要。</w:t>
      </w:r>
    </w:p>
    <w:p>
      <w:pPr>
        <w:keepNext w:val="0"/>
        <w:keepLines w:val="0"/>
        <w:pageBreakBefore w:val="0"/>
        <w:kinsoku/>
        <w:wordWrap/>
        <w:overflowPunct/>
        <w:topLinePunct w:val="0"/>
        <w:bidi w:val="0"/>
        <w:adjustRightInd/>
        <w:snapToGrid/>
        <w:spacing w:line="560" w:lineRule="exact"/>
        <w:ind w:firstLine="420" w:firstLineChars="1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（二）立项背景</w:t>
      </w:r>
    </w:p>
    <w:p>
      <w:pPr>
        <w:keepNext w:val="0"/>
        <w:keepLines w:val="0"/>
        <w:pageBreakBefore w:val="0"/>
        <w:kinsoku/>
        <w:wordWrap/>
        <w:overflowPunct/>
        <w:topLinePunct w:val="0"/>
        <w:bidi w:val="0"/>
        <w:adjustRightInd/>
        <w:snapToGrid/>
        <w:spacing w:line="560" w:lineRule="exact"/>
        <w:ind w:firstLine="420" w:firstLineChars="1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邮政强国建设行动纲要》提出“要加快智能运输、分拣、安检、收投、客服等关键技术研发，健全标准体系，加快成果转化”，《快递市场管理办法》指出“支持创新快递商业模式和服务方式，引导快递市场新业态数字化、智能化、规范化发展，加强服务质量监督管理”。在当前的政策背景和技术发展条件下，快递服务的数字化、智能化、无人化发展是未来的重点发展方向，无人值守快递驿站应运而生并且逐步铺开，无人值守快递驿站是通过数字技术进行身份确认、自动开门、快件搜索、自助取件的夜间无人化操作的终端驿站，更加注重用户体验、个性化服务和效率。</w:t>
      </w:r>
    </w:p>
    <w:p>
      <w:pPr>
        <w:keepNext w:val="0"/>
        <w:keepLines w:val="0"/>
        <w:pageBreakBefore w:val="0"/>
        <w:kinsoku/>
        <w:wordWrap/>
        <w:overflowPunct/>
        <w:topLinePunct w:val="0"/>
        <w:bidi w:val="0"/>
        <w:adjustRightInd/>
        <w:snapToGrid/>
        <w:spacing w:line="560" w:lineRule="exact"/>
        <w:ind w:firstLine="420" w:firstLineChars="1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目前，湖南已开设300多个快递终端网点已开通“24小时无人驿站”服务，400余个网点已开通“一号全取”模式，即在同一快递驿站内，输入自己的手机号码后，该驿站内在本收件号码之下的所有快递均会发出信号，以便取件人更快捷的拿到自己快递。</w:t>
      </w:r>
    </w:p>
    <w:p>
      <w:pPr>
        <w:keepNext w:val="0"/>
        <w:keepLines w:val="0"/>
        <w:pageBreakBefore w:val="0"/>
        <w:kinsoku/>
        <w:wordWrap/>
        <w:overflowPunct/>
        <w:topLinePunct w:val="0"/>
        <w:bidi w:val="0"/>
        <w:adjustRightInd/>
        <w:snapToGrid/>
        <w:spacing w:line="560" w:lineRule="exact"/>
        <w:ind w:firstLine="420" w:firstLineChars="1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各快递驿站品牌根据自身的业务发展需要正在积极探索无人值守快递驿站的运行和管理模式，形成了一些技术成果和实践经验，具有一定的可复制性和可推广性，将当前的技术经验成果总结提炼形成统一规范的标准，可以科学的指导快递企业建设和管理无人值守快递驿站，为消费者提供更加高效、便捷的服务，有利于促进快递业的健康有序发展和提升行业的形象及信誉。</w:t>
      </w:r>
    </w:p>
    <w:p>
      <w:pPr>
        <w:keepNext w:val="0"/>
        <w:keepLines w:val="0"/>
        <w:pageBreakBefore w:val="0"/>
        <w:kinsoku/>
        <w:wordWrap/>
        <w:overflowPunct/>
        <w:topLinePunct w:val="0"/>
        <w:bidi w:val="0"/>
        <w:adjustRightInd/>
        <w:snapToGrid/>
        <w:spacing w:line="560" w:lineRule="exact"/>
        <w:ind w:firstLine="420" w:firstLineChars="1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（三）必要性</w:t>
      </w:r>
    </w:p>
    <w:p>
      <w:pPr>
        <w:keepNext w:val="0"/>
        <w:keepLines w:val="0"/>
        <w:pageBreakBefore w:val="0"/>
        <w:kinsoku/>
        <w:wordWrap/>
        <w:overflowPunct/>
        <w:topLinePunct w:val="0"/>
        <w:bidi w:val="0"/>
        <w:adjustRightInd/>
        <w:snapToGrid/>
        <w:spacing w:line="560" w:lineRule="exact"/>
        <w:ind w:firstLine="420" w:firstLineChars="1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全新的服务模式让用户取件更便利，驿站经营者更幸福。</w:t>
      </w:r>
      <w:r>
        <w:rPr>
          <w:rFonts w:hint="eastAsia" w:ascii="仿宋_GB2312" w:hAnsi="仿宋_GB2312" w:eastAsia="仿宋_GB2312" w:cs="仿宋_GB2312"/>
          <w:b/>
          <w:sz w:val="28"/>
          <w:szCs w:val="28"/>
        </w:rPr>
        <w:t>一是全天24小时自由取件，提升便利性。</w:t>
      </w:r>
      <w:r>
        <w:rPr>
          <w:rFonts w:hint="eastAsia" w:ascii="仿宋_GB2312" w:hAnsi="仿宋_GB2312" w:eastAsia="仿宋_GB2312" w:cs="仿宋_GB2312"/>
          <w:sz w:val="28"/>
          <w:szCs w:val="28"/>
        </w:rPr>
        <w:t>用户通过手机APP进行扫码，经实名认证后，便可进入驿站。在找到自己的快件后，将快件扫码出库，就可以开门离开，操作流程方便快捷，极大地便利了用户的取件需求。</w:t>
      </w:r>
      <w:r>
        <w:rPr>
          <w:rFonts w:hint="eastAsia" w:ascii="仿宋_GB2312" w:hAnsi="仿宋_GB2312" w:eastAsia="仿宋_GB2312" w:cs="仿宋_GB2312"/>
          <w:b/>
          <w:sz w:val="28"/>
          <w:szCs w:val="28"/>
        </w:rPr>
        <w:t>二是数字化技术提高安全性。</w:t>
      </w:r>
      <w:r>
        <w:rPr>
          <w:rFonts w:hint="eastAsia" w:ascii="仿宋_GB2312" w:hAnsi="仿宋_GB2312" w:eastAsia="仿宋_GB2312" w:cs="仿宋_GB2312"/>
          <w:sz w:val="28"/>
          <w:szCs w:val="28"/>
        </w:rPr>
        <w:t>一方面，驿站内安装了全覆盖视频监控系统，并与驿站后台管理平台联通网络，以便在用户不小心错拿快递时找回。另一方面，驿站内安装消防感应系统，在发生火灾和烟雾报警时可更高效及时的采取措施。</w:t>
      </w:r>
      <w:r>
        <w:rPr>
          <w:rFonts w:hint="eastAsia" w:ascii="仿宋_GB2312" w:hAnsi="仿宋_GB2312" w:eastAsia="仿宋_GB2312" w:cs="仿宋_GB2312"/>
          <w:b/>
          <w:sz w:val="28"/>
          <w:szCs w:val="28"/>
        </w:rPr>
        <w:t>三是一号全取提高快递服务效率。</w:t>
      </w:r>
      <w:r>
        <w:rPr>
          <w:rFonts w:hint="eastAsia" w:ascii="仿宋_GB2312" w:hAnsi="仿宋_GB2312" w:eastAsia="仿宋_GB2312" w:cs="仿宋_GB2312"/>
          <w:sz w:val="28"/>
          <w:szCs w:val="28"/>
        </w:rPr>
        <w:t>以往“双十一”旺季，用户快件会集中到达，工作人员按照单号挨个在货架查找快件，需要十多分钟，采用“一号全取”新服务模式后，只要用户扫码属于他的快件就会全部发出与其他快件不同的信号，用户两三分钟就可取走，取件效率显著提高，极大缩短用户等待时间。</w:t>
      </w:r>
      <w:r>
        <w:rPr>
          <w:rFonts w:hint="eastAsia" w:ascii="仿宋_GB2312" w:hAnsi="仿宋_GB2312" w:eastAsia="仿宋_GB2312" w:cs="仿宋_GB2312"/>
          <w:b/>
          <w:sz w:val="28"/>
          <w:szCs w:val="28"/>
        </w:rPr>
        <w:t>四是智能化提升幸福指数。</w:t>
      </w:r>
      <w:r>
        <w:rPr>
          <w:rFonts w:hint="eastAsia" w:ascii="仿宋_GB2312" w:hAnsi="仿宋_GB2312" w:eastAsia="仿宋_GB2312" w:cs="仿宋_GB2312"/>
          <w:sz w:val="28"/>
          <w:szCs w:val="28"/>
        </w:rPr>
        <w:t>“无人驿站”的24小时运营，对驿站经营者来说，可以获得更多的自由时间，陪陪家人、照顾孩子、享受节庆假日的欢聚时刻；对用户来说，不管驿站有没有工作人员，都可以随时自助取件；对快递员来说，不用等待驿站经营者开门，可随时进入驿站摆放快件，大大提高了日常快件投递效率。</w:t>
      </w:r>
    </w:p>
    <w:p>
      <w:pPr>
        <w:keepNext w:val="0"/>
        <w:keepLines w:val="0"/>
        <w:pageBreakBefore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二、工作简况</w:t>
      </w:r>
    </w:p>
    <w:p>
      <w:pPr>
        <w:keepNext w:val="0"/>
        <w:keepLines w:val="0"/>
        <w:pageBreakBefore w:val="0"/>
        <w:kinsoku/>
        <w:wordWrap/>
        <w:overflowPunct/>
        <w:topLinePunct w:val="0"/>
        <w:bidi w:val="0"/>
        <w:adjustRightInd/>
        <w:snapToGrid/>
        <w:spacing w:line="560" w:lineRule="exact"/>
        <w:ind w:firstLine="420" w:firstLineChars="1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（一）任务来源</w:t>
      </w:r>
    </w:p>
    <w:p>
      <w:pPr>
        <w:keepNext w:val="0"/>
        <w:keepLines w:val="0"/>
        <w:pageBreakBefore w:val="0"/>
        <w:kinsoku/>
        <w:wordWrap/>
        <w:overflowPunct/>
        <w:topLinePunct w:val="0"/>
        <w:bidi w:val="0"/>
        <w:adjustRightInd/>
        <w:snapToGrid/>
        <w:spacing w:line="560" w:lineRule="exact"/>
        <w:ind w:firstLine="56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本标准根据湖南省市场监督管理局文件《关于下达 2025年度第1批地方标准制定项目计划的通知》，由湖南省邮政管理局提出，湖南省物流标准化技术委员会归口，由湖南省质量和标准化研究院牵头编制。</w:t>
      </w:r>
    </w:p>
    <w:p>
      <w:pPr>
        <w:keepNext w:val="0"/>
        <w:keepLines w:val="0"/>
        <w:pageBreakBefore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color w:val="FF0000"/>
          <w:sz w:val="28"/>
          <w:szCs w:val="28"/>
        </w:rPr>
        <w:t xml:space="preserve"> </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t>（二）协助单位</w:t>
      </w:r>
    </w:p>
    <w:p>
      <w:pPr>
        <w:keepNext w:val="0"/>
        <w:keepLines w:val="0"/>
        <w:pageBreakBefore w:val="0"/>
        <w:kinsoku/>
        <w:wordWrap/>
        <w:overflowPunct/>
        <w:topLinePunct w:val="0"/>
        <w:bidi w:val="0"/>
        <w:adjustRightInd/>
        <w:snapToGrid/>
        <w:spacing w:line="560" w:lineRule="exact"/>
        <w:ind w:firstLine="56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color w:val="FF0000"/>
          <w:sz w:val="28"/>
          <w:szCs w:val="28"/>
        </w:rPr>
        <w:t>湖南驿派网络科技有限公司、湖南禹璨信息技术有限公司、</w:t>
      </w:r>
      <w:r>
        <w:rPr>
          <w:rFonts w:hint="eastAsia" w:ascii="仿宋_GB2312" w:hAnsi="仿宋_GB2312" w:eastAsia="仿宋_GB2312" w:cs="仿宋_GB2312"/>
          <w:color w:val="FF0000"/>
          <w:sz w:val="28"/>
          <w:szCs w:val="28"/>
        </w:rPr>
        <w:t>菜鸟驿站大数据科技（湖南）有限公司、</w:t>
      </w:r>
      <w:r>
        <w:rPr>
          <w:rFonts w:hint="eastAsia" w:ascii="仿宋_GB2312" w:hAnsi="仿宋_GB2312" w:eastAsia="仿宋_GB2312" w:cs="仿宋_GB2312"/>
          <w:color w:val="FF0000"/>
          <w:sz w:val="28"/>
          <w:szCs w:val="28"/>
        </w:rPr>
        <w:t>湖南顺丰速运有限公司、湖南省快递协会</w:t>
      </w:r>
      <w:r>
        <w:rPr>
          <w:rFonts w:hint="eastAsia" w:ascii="仿宋_GB2312" w:hAnsi="仿宋_GB2312" w:eastAsia="仿宋_GB2312" w:cs="仿宋_GB2312"/>
          <w:sz w:val="28"/>
          <w:szCs w:val="28"/>
        </w:rPr>
        <w:t>。</w:t>
      </w:r>
    </w:p>
    <w:p>
      <w:pPr>
        <w:keepNext w:val="0"/>
        <w:keepLines w:val="0"/>
        <w:pageBreakBefore w:val="0"/>
        <w:kinsoku/>
        <w:wordWrap/>
        <w:overflowPunct/>
        <w:topLinePunct w:val="0"/>
        <w:bidi w:val="0"/>
        <w:adjustRightInd/>
        <w:snapToGrid/>
        <w:spacing w:line="560" w:lineRule="exact"/>
        <w:ind w:firstLine="280" w:firstLineChars="1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（三）主要工作过程</w:t>
      </w:r>
    </w:p>
    <w:p>
      <w:pPr>
        <w:keepNext w:val="0"/>
        <w:keepLines w:val="0"/>
        <w:pageBreakBefore w:val="0"/>
        <w:kinsoku/>
        <w:wordWrap/>
        <w:overflowPunct/>
        <w:topLinePunct w:val="0"/>
        <w:bidi w:val="0"/>
        <w:adjustRightInd/>
        <w:snapToGrid/>
        <w:spacing w:line="560" w:lineRule="exact"/>
        <w:ind w:firstLine="420" w:firstLineChars="1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1、准备阶段</w:t>
      </w:r>
    </w:p>
    <w:p>
      <w:pPr>
        <w:keepNext w:val="0"/>
        <w:keepLines w:val="0"/>
        <w:pageBreakBefore w:val="0"/>
        <w:kinsoku/>
        <w:wordWrap/>
        <w:overflowPunct/>
        <w:topLinePunct w:val="0"/>
        <w:bidi w:val="0"/>
        <w:adjustRightInd/>
        <w:snapToGrid/>
        <w:spacing w:line="560" w:lineRule="exact"/>
        <w:ind w:firstLine="648"/>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（1）成立起草工作组：</w:t>
      </w:r>
      <w:r>
        <w:rPr>
          <w:rFonts w:hint="eastAsia" w:ascii="仿宋_GB2312" w:hAnsi="仿宋_GB2312" w:eastAsia="仿宋_GB2312" w:cs="仿宋_GB2312"/>
          <w:sz w:val="28"/>
          <w:szCs w:val="28"/>
        </w:rPr>
        <w:t>标准起草工作小组于20</w:t>
      </w: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rPr>
        <w:t>4年12月成立，由湖南省邮政管理局指导，组员由湖南省质量和标准化研究院等单位的相关负责人及技术人员组成。</w:t>
      </w:r>
    </w:p>
    <w:p>
      <w:pPr>
        <w:keepNext w:val="0"/>
        <w:keepLines w:val="0"/>
        <w:pageBreakBefore w:val="0"/>
        <w:kinsoku/>
        <w:wordWrap/>
        <w:overflowPunct/>
        <w:topLinePunct w:val="0"/>
        <w:bidi w:val="0"/>
        <w:adjustRightInd/>
        <w:snapToGrid/>
        <w:spacing w:line="560" w:lineRule="exact"/>
        <w:ind w:firstLine="648"/>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（2）资料收集、框架与指标研究：</w:t>
      </w:r>
      <w:r>
        <w:rPr>
          <w:rFonts w:hint="eastAsia" w:ascii="仿宋_GB2312" w:hAnsi="仿宋_GB2312" w:eastAsia="仿宋_GB2312" w:cs="仿宋_GB2312"/>
          <w:sz w:val="28"/>
          <w:szCs w:val="28"/>
        </w:rPr>
        <w:t>20</w:t>
      </w: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rPr>
        <w:t>4年12月</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t>2025年</w:t>
      </w: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rPr>
        <w:t>月，工作组收集了快递服务、快递营业场所设计、无人值守等相关的法律法规、政策文件、国家、行业标准等，了解无人值守快递驿站的建设、运行和管理的行业现状，研究无人值守快递驿站入库、取件、出库的相关业务流程，确定标准的范围，初步拟订标准的基本框架和指标设置，形成标准工作组讨论稿（初稿）。</w:t>
      </w:r>
    </w:p>
    <w:p>
      <w:pPr>
        <w:keepNext w:val="0"/>
        <w:keepLines w:val="0"/>
        <w:pageBreakBefore w:val="0"/>
        <w:kinsoku/>
        <w:wordWrap/>
        <w:overflowPunct/>
        <w:topLinePunct w:val="0"/>
        <w:bidi w:val="0"/>
        <w:adjustRightInd/>
        <w:snapToGrid/>
        <w:spacing w:line="560" w:lineRule="exact"/>
        <w:ind w:firstLine="280" w:firstLineChars="1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2、起草工作阶段</w:t>
      </w:r>
    </w:p>
    <w:p>
      <w:pPr>
        <w:keepNext w:val="0"/>
        <w:keepLines w:val="0"/>
        <w:pageBreakBefore w:val="0"/>
        <w:kinsoku/>
        <w:wordWrap/>
        <w:overflowPunct/>
        <w:topLinePunct w:val="0"/>
        <w:bidi w:val="0"/>
        <w:adjustRightInd/>
        <w:snapToGrid/>
        <w:spacing w:line="560" w:lineRule="exact"/>
        <w:ind w:firstLine="648"/>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（1）工作组第一次讨论会</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t>2025</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rPr>
        <w:t>月，起草工作组对标准工作组讨论稿（初稿）组织内部研讨，调整标准框架和主要内容，明确了标准下一步任务分工和时间进度安排。</w:t>
      </w:r>
    </w:p>
    <w:p>
      <w:pPr>
        <w:keepNext w:val="0"/>
        <w:keepLines w:val="0"/>
        <w:pageBreakBefore w:val="0"/>
        <w:kinsoku/>
        <w:wordWrap/>
        <w:overflowPunct/>
        <w:topLinePunct w:val="0"/>
        <w:bidi w:val="0"/>
        <w:adjustRightInd/>
        <w:snapToGrid/>
        <w:spacing w:line="560" w:lineRule="exact"/>
        <w:ind w:firstLine="648"/>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（2）完善标准工作组讨论稿：</w:t>
      </w:r>
      <w:r>
        <w:rPr>
          <w:rFonts w:hint="eastAsia" w:ascii="仿宋_GB2312" w:hAnsi="仿宋_GB2312" w:eastAsia="仿宋_GB2312" w:cs="仿宋_GB2312"/>
          <w:sz w:val="28"/>
          <w:szCs w:val="28"/>
        </w:rPr>
        <w:t>20</w:t>
      </w:r>
      <w:r>
        <w:rPr>
          <w:rFonts w:hint="eastAsia" w:ascii="仿宋_GB2312" w:hAnsi="仿宋_GB2312" w:eastAsia="仿宋_GB2312" w:cs="仿宋_GB2312"/>
          <w:sz w:val="28"/>
          <w:szCs w:val="28"/>
        </w:rPr>
        <w:t>25</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rPr>
        <w:t>7</w:t>
      </w:r>
      <w:r>
        <w:rPr>
          <w:rFonts w:hint="eastAsia" w:ascii="仿宋_GB2312" w:hAnsi="仿宋_GB2312" w:eastAsia="仿宋_GB2312" w:cs="仿宋_GB2312"/>
          <w:sz w:val="28"/>
          <w:szCs w:val="28"/>
        </w:rPr>
        <w:t>月，工作组按照研讨会形成的修改意见，对标准进行了认真分析、理解和总结，并多次开展内部研讨，完成了标准工作组讨论稿的编写。</w:t>
      </w:r>
    </w:p>
    <w:p>
      <w:pPr>
        <w:keepNext w:val="0"/>
        <w:keepLines w:val="0"/>
        <w:pageBreakBefore w:val="0"/>
        <w:kinsoku/>
        <w:wordWrap/>
        <w:overflowPunct/>
        <w:topLinePunct w:val="0"/>
        <w:bidi w:val="0"/>
        <w:adjustRightInd/>
        <w:snapToGrid/>
        <w:spacing w:line="560" w:lineRule="exact"/>
        <w:ind w:firstLine="648"/>
        <w:jc w:val="left"/>
        <w:textAlignment w:val="auto"/>
        <w:rPr>
          <w:rFonts w:hint="eastAsia" w:ascii="仿宋_GB2312" w:hAnsi="仿宋_GB2312" w:eastAsia="仿宋_GB2312" w:cs="仿宋_GB2312"/>
          <w:color w:val="FF0000"/>
          <w:sz w:val="28"/>
          <w:szCs w:val="28"/>
        </w:rPr>
      </w:pPr>
      <w:r>
        <w:rPr>
          <w:rFonts w:hint="eastAsia" w:ascii="仿宋_GB2312" w:hAnsi="仿宋_GB2312" w:eastAsia="仿宋_GB2312" w:cs="仿宋_GB2312"/>
          <w:sz w:val="28"/>
          <w:szCs w:val="28"/>
        </w:rPr>
        <w:t>（3）调查研讨：</w:t>
      </w:r>
      <w:r>
        <w:rPr>
          <w:rFonts w:hint="eastAsia" w:ascii="仿宋_GB2312" w:hAnsi="仿宋_GB2312" w:eastAsia="仿宋_GB2312" w:cs="仿宋_GB2312"/>
          <w:sz w:val="28"/>
          <w:szCs w:val="28"/>
        </w:rPr>
        <w:t>202</w:t>
      </w:r>
      <w:r>
        <w:rPr>
          <w:rFonts w:hint="eastAsia" w:ascii="仿宋_GB2312" w:hAnsi="仿宋_GB2312" w:eastAsia="仿宋_GB2312" w:cs="仿宋_GB2312"/>
          <w:sz w:val="28"/>
          <w:szCs w:val="28"/>
        </w:rPr>
        <w:t>5</w:t>
      </w:r>
      <w:r>
        <w:rPr>
          <w:rFonts w:hint="eastAsia" w:ascii="仿宋_GB2312" w:hAnsi="仿宋_GB2312" w:eastAsia="仿宋_GB2312" w:cs="仿宋_GB2312"/>
          <w:sz w:val="28"/>
          <w:szCs w:val="28"/>
        </w:rPr>
        <w:t>年12月11日，在湖南驿派网络科技有限公司召开专家研讨会。本次研讨会对标准工作组讨论稿主要内容的科学性、完整性进行讨论，省邮政管理局、省快递行业协会相关领导及行业专家参加研讨，会上，专家就数据安全、门禁应急照明和疏散、称重计量设备、出库校验、远程客服等条款提出意见和建议。项目组根据与会专家意见做出调整，形成征求意见稿。</w:t>
      </w:r>
    </w:p>
    <w:p>
      <w:pPr>
        <w:keepNext w:val="0"/>
        <w:keepLines w:val="0"/>
        <w:pageBreakBefore w:val="0"/>
        <w:kinsoku/>
        <w:wordWrap/>
        <w:overflowPunct/>
        <w:topLinePunct w:val="0"/>
        <w:bidi w:val="0"/>
        <w:adjustRightInd/>
        <w:snapToGrid/>
        <w:spacing w:line="560" w:lineRule="exact"/>
        <w:ind w:firstLine="648"/>
        <w:jc w:val="left"/>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（四）主要起草人及其分工</w:t>
      </w:r>
    </w:p>
    <w:p>
      <w:pPr>
        <w:keepNext w:val="0"/>
        <w:keepLines w:val="0"/>
        <w:pageBreakBefore w:val="0"/>
        <w:kinsoku/>
        <w:wordWrap/>
        <w:overflowPunct/>
        <w:topLinePunct w:val="0"/>
        <w:bidi w:val="0"/>
        <w:adjustRightInd/>
        <w:snapToGrid/>
        <w:spacing w:line="560" w:lineRule="exact"/>
        <w:ind w:firstLine="648"/>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本标准由湖南省邮政管理局提出，湖南省物流标准化技术委员会归口。</w:t>
      </w:r>
    </w:p>
    <w:p>
      <w:pPr>
        <w:keepNext w:val="0"/>
        <w:keepLines w:val="0"/>
        <w:pageBreakBefore w:val="0"/>
        <w:kinsoku/>
        <w:wordWrap/>
        <w:overflowPunct/>
        <w:topLinePunct w:val="0"/>
        <w:bidi w:val="0"/>
        <w:adjustRightInd/>
        <w:snapToGrid/>
        <w:spacing w:line="560" w:lineRule="exact"/>
        <w:ind w:firstLine="648"/>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由主编单位</w:t>
      </w:r>
      <w:r>
        <w:rPr>
          <w:rFonts w:hint="eastAsia" w:ascii="仿宋_GB2312" w:hAnsi="仿宋_GB2312" w:eastAsia="仿宋_GB2312" w:cs="仿宋_GB2312"/>
          <w:sz w:val="28"/>
          <w:szCs w:val="28"/>
        </w:rPr>
        <w:t>湖南省质量和标准化研究院牵头，</w:t>
      </w:r>
      <w:r>
        <w:rPr>
          <w:rFonts w:hint="eastAsia" w:ascii="仿宋_GB2312" w:hAnsi="仿宋_GB2312" w:eastAsia="仿宋_GB2312" w:cs="仿宋_GB2312"/>
          <w:color w:val="FF0000"/>
          <w:sz w:val="28"/>
          <w:szCs w:val="28"/>
        </w:rPr>
        <w:t>湖南驿派网络科技有限公司、湖南禹璨信息技术有限公司、</w:t>
      </w:r>
      <w:r>
        <w:rPr>
          <w:rFonts w:hint="eastAsia" w:ascii="仿宋_GB2312" w:hAnsi="仿宋_GB2312" w:eastAsia="仿宋_GB2312" w:cs="仿宋_GB2312"/>
          <w:color w:val="FF0000"/>
          <w:sz w:val="28"/>
          <w:szCs w:val="28"/>
        </w:rPr>
        <w:t>菜鸟驿站大数据科技（湖南）有限公司、湖南省邮政管理局</w:t>
      </w:r>
      <w:r>
        <w:rPr>
          <w:rFonts w:hint="eastAsia" w:ascii="仿宋_GB2312" w:hAnsi="仿宋_GB2312" w:eastAsia="仿宋_GB2312" w:cs="仿宋_GB2312"/>
          <w:color w:val="FF0000"/>
          <w:sz w:val="28"/>
          <w:szCs w:val="28"/>
        </w:rPr>
        <w:t>、湖南顺丰速运有限公司、湖南省快递协会</w:t>
      </w:r>
      <w:r>
        <w:rPr>
          <w:rFonts w:hint="eastAsia" w:ascii="仿宋_GB2312" w:hAnsi="仿宋_GB2312" w:eastAsia="仿宋_GB2312" w:cs="仿宋_GB2312"/>
          <w:sz w:val="28"/>
          <w:szCs w:val="28"/>
        </w:rPr>
        <w:t>等单位协助，成立了标准编制工作组，制定编制工作计划及内容。</w:t>
      </w:r>
    </w:p>
    <w:p>
      <w:pPr>
        <w:keepNext w:val="0"/>
        <w:keepLines w:val="0"/>
        <w:pageBreakBefore w:val="0"/>
        <w:kinsoku/>
        <w:wordWrap/>
        <w:overflowPunct/>
        <w:topLinePunct w:val="0"/>
        <w:bidi w:val="0"/>
        <w:adjustRightInd/>
        <w:snapToGrid/>
        <w:spacing w:line="560" w:lineRule="exact"/>
        <w:ind w:firstLine="648"/>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标准起草单位及人员分工见表</w:t>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t>。</w:t>
      </w:r>
    </w:p>
    <w:p>
      <w:pPr>
        <w:keepNext w:val="0"/>
        <w:keepLines w:val="0"/>
        <w:pageBreakBefore w:val="0"/>
        <w:widowControl/>
        <w:kinsoku/>
        <w:wordWrap/>
        <w:overflowPunct/>
        <w:topLinePunct w:val="0"/>
        <w:bidi w:val="0"/>
        <w:adjustRightInd/>
        <w:snapToGrid/>
        <w:spacing w:line="560" w:lineRule="exact"/>
        <w:jc w:val="center"/>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br w:type="page"/>
      </w:r>
      <w:r>
        <w:rPr>
          <w:rFonts w:hint="eastAsia" w:ascii="仿宋_GB2312" w:hAnsi="仿宋_GB2312" w:eastAsia="仿宋_GB2312" w:cs="仿宋_GB2312"/>
          <w:b/>
          <w:sz w:val="28"/>
          <w:szCs w:val="28"/>
        </w:rPr>
        <w:t>表1 项目主要参加单位及人员分工</w:t>
      </w:r>
    </w:p>
    <w:tbl>
      <w:tblPr>
        <w:tblStyle w:val="8"/>
        <w:tblW w:w="82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1080"/>
        <w:gridCol w:w="1800"/>
        <w:gridCol w:w="2520"/>
        <w:gridCol w:w="20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812" w:type="dxa"/>
            <w:tcBorders>
              <w:top w:val="single" w:color="auto" w:sz="4" w:space="0"/>
              <w:left w:val="single" w:color="auto" w:sz="8"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序号</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18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职务/职称</w:t>
            </w:r>
          </w:p>
        </w:tc>
        <w:tc>
          <w:tcPr>
            <w:tcW w:w="25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项目任务分工</w:t>
            </w:r>
          </w:p>
        </w:tc>
        <w:tc>
          <w:tcPr>
            <w:tcW w:w="2006" w:type="dxa"/>
            <w:tcBorders>
              <w:top w:val="single" w:color="auto" w:sz="4" w:space="0"/>
              <w:left w:val="single" w:color="auto" w:sz="4" w:space="0"/>
              <w:bottom w:val="single" w:color="auto" w:sz="4" w:space="0"/>
              <w:right w:val="single" w:color="auto" w:sz="8"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8"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张  斌</w:t>
            </w:r>
          </w:p>
        </w:tc>
        <w:tc>
          <w:tcPr>
            <w:tcW w:w="18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所长/</w:t>
            </w:r>
          </w:p>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高级工程师</w:t>
            </w:r>
          </w:p>
        </w:tc>
        <w:tc>
          <w:tcPr>
            <w:tcW w:w="25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项目负责人</w:t>
            </w:r>
          </w:p>
        </w:tc>
        <w:tc>
          <w:tcPr>
            <w:tcW w:w="2006" w:type="dxa"/>
            <w:tcBorders>
              <w:top w:val="single" w:color="auto" w:sz="4" w:space="0"/>
              <w:left w:val="single" w:color="auto" w:sz="4" w:space="0"/>
              <w:bottom w:val="single" w:color="auto" w:sz="4" w:space="0"/>
              <w:right w:val="single" w:color="auto" w:sz="8"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湖南省质量和标准化研究院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8"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杨璨榕</w:t>
            </w:r>
          </w:p>
        </w:tc>
        <w:tc>
          <w:tcPr>
            <w:tcW w:w="18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三</w:t>
            </w:r>
            <w:r>
              <w:rPr>
                <w:rFonts w:hint="eastAsia" w:ascii="仿宋_GB2312" w:hAnsi="仿宋_GB2312" w:eastAsia="仿宋_GB2312" w:cs="仿宋_GB2312"/>
                <w:sz w:val="28"/>
                <w:szCs w:val="28"/>
              </w:rPr>
              <w:t>级调研员</w:t>
            </w:r>
          </w:p>
        </w:tc>
        <w:tc>
          <w:tcPr>
            <w:tcW w:w="25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综合协调</w:t>
            </w:r>
          </w:p>
        </w:tc>
        <w:tc>
          <w:tcPr>
            <w:tcW w:w="2006" w:type="dxa"/>
            <w:tcBorders>
              <w:top w:val="single" w:color="auto" w:sz="4" w:space="0"/>
              <w:left w:val="single" w:color="auto" w:sz="4" w:space="0"/>
              <w:bottom w:val="single" w:color="auto" w:sz="4" w:space="0"/>
              <w:right w:val="single" w:color="auto" w:sz="8"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湖南省</w:t>
            </w:r>
          </w:p>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邮政管理局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812" w:type="dxa"/>
            <w:tcBorders>
              <w:top w:val="single" w:color="auto" w:sz="4" w:space="0"/>
              <w:left w:val="single" w:color="auto" w:sz="8"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龚敬才</w:t>
            </w:r>
          </w:p>
        </w:tc>
        <w:tc>
          <w:tcPr>
            <w:tcW w:w="18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工程师</w:t>
            </w:r>
          </w:p>
        </w:tc>
        <w:tc>
          <w:tcPr>
            <w:tcW w:w="25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主持编制</w:t>
            </w:r>
          </w:p>
        </w:tc>
        <w:tc>
          <w:tcPr>
            <w:tcW w:w="2006" w:type="dxa"/>
            <w:tcBorders>
              <w:top w:val="single" w:color="auto" w:sz="4" w:space="0"/>
              <w:left w:val="single" w:color="auto" w:sz="4" w:space="0"/>
              <w:bottom w:val="single" w:color="auto" w:sz="4" w:space="0"/>
              <w:right w:val="single" w:color="auto" w:sz="8"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湖南省质量和标准化研究院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812" w:type="dxa"/>
            <w:tcBorders>
              <w:top w:val="single" w:color="auto" w:sz="4" w:space="0"/>
              <w:left w:val="single" w:color="auto" w:sz="8"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汤玲</w:t>
            </w:r>
          </w:p>
        </w:tc>
        <w:tc>
          <w:tcPr>
            <w:tcW w:w="18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处长</w:t>
            </w:r>
          </w:p>
        </w:tc>
        <w:tc>
          <w:tcPr>
            <w:tcW w:w="25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综合协调</w:t>
            </w:r>
          </w:p>
        </w:tc>
        <w:tc>
          <w:tcPr>
            <w:tcW w:w="2006" w:type="dxa"/>
            <w:tcBorders>
              <w:top w:val="single" w:color="auto" w:sz="4" w:space="0"/>
              <w:left w:val="single" w:color="auto" w:sz="4" w:space="0"/>
              <w:bottom w:val="single" w:color="auto" w:sz="4" w:space="0"/>
              <w:right w:val="single" w:color="auto" w:sz="8"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湖南省</w:t>
            </w:r>
          </w:p>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邮政管理局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8"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盛立新</w:t>
            </w:r>
          </w:p>
        </w:tc>
        <w:tc>
          <w:tcPr>
            <w:tcW w:w="18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副院长/正高</w:t>
            </w:r>
          </w:p>
        </w:tc>
        <w:tc>
          <w:tcPr>
            <w:tcW w:w="25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综合技术指导</w:t>
            </w:r>
          </w:p>
        </w:tc>
        <w:tc>
          <w:tcPr>
            <w:tcW w:w="2006" w:type="dxa"/>
            <w:tcBorders>
              <w:top w:val="single" w:color="auto" w:sz="4" w:space="0"/>
              <w:left w:val="single" w:color="auto" w:sz="4" w:space="0"/>
              <w:bottom w:val="single" w:color="auto" w:sz="4" w:space="0"/>
              <w:right w:val="single" w:color="auto" w:sz="8"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湖南省质量和标准化研究院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8"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曾小军</w:t>
            </w:r>
          </w:p>
        </w:tc>
        <w:tc>
          <w:tcPr>
            <w:tcW w:w="18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高级工程师</w:t>
            </w:r>
          </w:p>
        </w:tc>
        <w:tc>
          <w:tcPr>
            <w:tcW w:w="25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参与编制</w:t>
            </w:r>
          </w:p>
        </w:tc>
        <w:tc>
          <w:tcPr>
            <w:tcW w:w="2006" w:type="dxa"/>
            <w:tcBorders>
              <w:top w:val="single" w:color="auto" w:sz="4" w:space="0"/>
              <w:left w:val="single" w:color="auto" w:sz="4" w:space="0"/>
              <w:bottom w:val="single" w:color="auto" w:sz="4" w:space="0"/>
              <w:right w:val="single" w:color="auto" w:sz="8"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湖南省质量和标准化研究院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812" w:type="dxa"/>
            <w:tcBorders>
              <w:top w:val="single" w:color="auto" w:sz="4" w:space="0"/>
              <w:left w:val="single" w:color="auto" w:sz="8"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w:t>
            </w:r>
          </w:p>
        </w:tc>
        <w:tc>
          <w:tcPr>
            <w:tcW w:w="108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彭  涛</w:t>
            </w:r>
          </w:p>
        </w:tc>
        <w:tc>
          <w:tcPr>
            <w:tcW w:w="18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工程师</w:t>
            </w:r>
          </w:p>
        </w:tc>
        <w:tc>
          <w:tcPr>
            <w:tcW w:w="252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参与编制</w:t>
            </w:r>
          </w:p>
        </w:tc>
        <w:tc>
          <w:tcPr>
            <w:tcW w:w="2006" w:type="dxa"/>
            <w:tcBorders>
              <w:top w:val="single" w:color="auto" w:sz="4" w:space="0"/>
              <w:left w:val="single" w:color="auto" w:sz="4" w:space="0"/>
              <w:bottom w:val="single" w:color="auto" w:sz="4" w:space="0"/>
              <w:right w:val="single" w:color="auto" w:sz="8" w:space="0"/>
            </w:tcBorders>
            <w:vAlign w:val="center"/>
          </w:tcPr>
          <w:p>
            <w:pPr>
              <w:keepNext w:val="0"/>
              <w:keepLines w:val="0"/>
              <w:pageBreakBefore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湖南省质量和标准化研究院</w:t>
            </w:r>
          </w:p>
        </w:tc>
      </w:tr>
    </w:tbl>
    <w:p>
      <w:pPr>
        <w:keepNext w:val="0"/>
        <w:keepLines w:val="0"/>
        <w:pageBreakBefore w:val="0"/>
        <w:widowControl/>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br w:type="page"/>
      </w:r>
    </w:p>
    <w:p>
      <w:pPr>
        <w:keepNext w:val="0"/>
        <w:keepLines w:val="0"/>
        <w:pageBreakBefore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三、标准编制原则和主要内容</w:t>
      </w:r>
    </w:p>
    <w:p>
      <w:pPr>
        <w:keepNext w:val="0"/>
        <w:keepLines w:val="0"/>
        <w:pageBreakBefore w:val="0"/>
        <w:kinsoku/>
        <w:wordWrap/>
        <w:overflowPunct/>
        <w:topLinePunct w:val="0"/>
        <w:bidi w:val="0"/>
        <w:adjustRightInd/>
        <w:snapToGrid/>
        <w:spacing w:line="560" w:lineRule="exact"/>
        <w:ind w:firstLine="420" w:firstLineChars="1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（一）编制原则</w:t>
      </w:r>
    </w:p>
    <w:p>
      <w:pPr>
        <w:keepNext w:val="0"/>
        <w:keepLines w:val="0"/>
        <w:pageBreakBefore w:val="0"/>
        <w:kinsoku/>
        <w:wordWrap/>
        <w:overflowPunct/>
        <w:topLinePunct w:val="0"/>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本标准本着科学性、适用性和可操作性的原则，按照GB/T 1.1—2020《标准化工作导则 第1部分：标准化文件的结构和起草规则》给出的规则编写。</w:t>
      </w:r>
    </w:p>
    <w:p>
      <w:pPr>
        <w:keepNext w:val="0"/>
        <w:keepLines w:val="0"/>
        <w:pageBreakBefore w:val="0"/>
        <w:kinsoku/>
        <w:wordWrap/>
        <w:overflowPunct/>
        <w:topLinePunct w:val="0"/>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1、科学性原则</w:t>
      </w:r>
    </w:p>
    <w:p>
      <w:pPr>
        <w:keepNext w:val="0"/>
        <w:keepLines w:val="0"/>
        <w:pageBreakBefore w:val="0"/>
        <w:kinsoku/>
        <w:wordWrap/>
        <w:overflowPunct/>
        <w:topLinePunct w:val="0"/>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本标准的制定符合国家、省内的相关文件以及国家、行业标准相关要求。</w:t>
      </w:r>
      <w:r>
        <w:rPr>
          <w:rFonts w:hint="eastAsia" w:ascii="仿宋_GB2312" w:hAnsi="仿宋_GB2312" w:eastAsia="仿宋_GB2312" w:cs="仿宋_GB2312"/>
          <w:sz w:val="28"/>
          <w:szCs w:val="28"/>
        </w:rPr>
        <w:t>充分借鉴了YZ/T 0133《智能快件箱》、YZ/T 0137《快递营业场所设计基本要求》、YZ/T 0145《快递末端投递服务规范》、GB/T 27917《快递服务》系列标准等已有的技术成果，确保标准技术内容的科学性和准确性。文件在术语定义、技术参数、功能要求等方面力求做到有据可依，避免主观臆断，确保每项技术要求的提出都有相应的标准依据或行业实践支撑</w:t>
      </w:r>
      <w:r>
        <w:rPr>
          <w:rFonts w:hint="eastAsia" w:ascii="仿宋_GB2312" w:hAnsi="仿宋_GB2312" w:eastAsia="仿宋_GB2312" w:cs="仿宋_GB2312"/>
          <w:sz w:val="28"/>
          <w:szCs w:val="28"/>
        </w:rPr>
        <w:t>，标准主要内容科学合理。</w:t>
      </w:r>
    </w:p>
    <w:p>
      <w:pPr>
        <w:keepNext w:val="0"/>
        <w:keepLines w:val="0"/>
        <w:pageBreakBefore w:val="0"/>
        <w:kinsoku/>
        <w:wordWrap/>
        <w:overflowPunct/>
        <w:topLinePunct w:val="0"/>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2、适用性原则</w:t>
      </w:r>
    </w:p>
    <w:p>
      <w:pPr>
        <w:keepNext w:val="0"/>
        <w:keepLines w:val="0"/>
        <w:pageBreakBefore w:val="0"/>
        <w:kinsoku/>
        <w:wordWrap/>
        <w:overflowPunct/>
        <w:topLinePunct w:val="0"/>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本标准</w:t>
      </w:r>
      <w:r>
        <w:rPr>
          <w:rFonts w:hint="eastAsia" w:ascii="仿宋_GB2312" w:hAnsi="仿宋_GB2312" w:eastAsia="仿宋_GB2312" w:cs="仿宋_GB2312"/>
          <w:sz w:val="28"/>
          <w:szCs w:val="28"/>
        </w:rPr>
        <w:t>充分考虑了</w:t>
      </w:r>
      <w:r>
        <w:rPr>
          <w:rFonts w:hint="eastAsia" w:ascii="仿宋_GB2312" w:hAnsi="仿宋_GB2312" w:eastAsia="仿宋_GB2312" w:cs="仿宋_GB2312"/>
          <w:sz w:val="28"/>
          <w:szCs w:val="28"/>
        </w:rPr>
        <w:t>我</w:t>
      </w:r>
      <w:r>
        <w:rPr>
          <w:rFonts w:hint="eastAsia" w:ascii="仿宋_GB2312" w:hAnsi="仿宋_GB2312" w:eastAsia="仿宋_GB2312" w:cs="仿宋_GB2312"/>
          <w:sz w:val="28"/>
          <w:szCs w:val="28"/>
        </w:rPr>
        <w:t>省快递末端服务的实际现状和发展需求，结合无人值守快递驿站作为新型快递末端服务模式的特点，在设施设备配置、系统功能要求、管理规范等方面，既体现了一定的前瞻性，又兼顾了不同规模、不同运营主体的实际承受能力，为不同类型驿站的建设和管理提供了灵活的适用空间，增强了标准在实际应用中的可接受度</w:t>
      </w:r>
      <w:r>
        <w:rPr>
          <w:rFonts w:hint="eastAsia" w:ascii="仿宋_GB2312" w:hAnsi="仿宋_GB2312" w:eastAsia="仿宋_GB2312" w:cs="仿宋_GB2312"/>
          <w:sz w:val="28"/>
          <w:szCs w:val="28"/>
        </w:rPr>
        <w:t>，保障了标准的适用性。</w:t>
      </w:r>
    </w:p>
    <w:p>
      <w:pPr>
        <w:keepNext w:val="0"/>
        <w:keepLines w:val="0"/>
        <w:pageBreakBefore w:val="0"/>
        <w:kinsoku/>
        <w:wordWrap/>
        <w:overflowPunct/>
        <w:topLinePunct w:val="0"/>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3、可操作性原则</w:t>
      </w:r>
    </w:p>
    <w:p>
      <w:pPr>
        <w:keepNext w:val="0"/>
        <w:keepLines w:val="0"/>
        <w:pageBreakBefore w:val="0"/>
        <w:kinsoku/>
        <w:wordWrap/>
        <w:overflowPunct/>
        <w:topLinePunct w:val="0"/>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本标准</w:t>
      </w:r>
      <w:r>
        <w:rPr>
          <w:rFonts w:hint="eastAsia" w:ascii="仿宋_GB2312" w:hAnsi="仿宋_GB2312" w:eastAsia="仿宋_GB2312" w:cs="仿宋_GB2312"/>
          <w:sz w:val="28"/>
          <w:szCs w:val="28"/>
        </w:rPr>
        <w:t>在内容设计上注重实用性和可操作性，力求使使用者能够“看得懂、用得上、做得到”。文件从选址布局、组织建设、设施设备配置到管理要求、用户服务，覆盖了无人驿站建设与管理的全生命周期，条款内容具体明确。文件中对关键操作环节（如入库流程、取件流程）以流程图形式进行了直观展示，对设施设备的技术参数提出了可量化的指标，为驿站的实际建设和管理提供了清晰的操作指引</w:t>
      </w:r>
      <w:r>
        <w:rPr>
          <w:rFonts w:hint="eastAsia" w:ascii="仿宋_GB2312" w:hAnsi="仿宋_GB2312" w:eastAsia="仿宋_GB2312" w:cs="仿宋_GB2312"/>
          <w:sz w:val="28"/>
          <w:szCs w:val="28"/>
        </w:rPr>
        <w:t>，具有较强的可操作性。</w:t>
      </w:r>
    </w:p>
    <w:p>
      <w:pPr>
        <w:keepNext w:val="0"/>
        <w:keepLines w:val="0"/>
        <w:pageBreakBefore w:val="0"/>
        <w:kinsoku/>
        <w:wordWrap/>
        <w:overflowPunct/>
        <w:topLinePunct w:val="0"/>
        <w:bidi w:val="0"/>
        <w:adjustRightInd/>
        <w:snapToGrid/>
        <w:spacing w:line="560" w:lineRule="exact"/>
        <w:ind w:firstLine="420" w:firstLineChars="1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（二）主要技术内容</w:t>
      </w:r>
    </w:p>
    <w:p>
      <w:pPr>
        <w:keepNext w:val="0"/>
        <w:keepLines w:val="0"/>
        <w:pageBreakBefore w:val="0"/>
        <w:kinsoku/>
        <w:wordWrap/>
        <w:overflowPunct/>
        <w:topLinePunct w:val="0"/>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本标</w:t>
      </w:r>
      <w:r>
        <w:rPr>
          <w:rFonts w:hint="eastAsia" w:ascii="仿宋_GB2312" w:hAnsi="仿宋_GB2312" w:eastAsia="仿宋_GB2312" w:cs="仿宋_GB2312"/>
          <w:sz w:val="28"/>
          <w:szCs w:val="28"/>
        </w:rPr>
        <w:t>确立了无人值守快递驿站建设和管理的基本框架，主要包括选址与布局、组织建设、设施设备、无人值守系统、管理要求、用户服务与评价等六大板块，覆盖了无人驿站从规划建设到运营管理的全生命周期。总体框架遵循“物理空间—组织保障—设施配置—系统建设—运营管理—服务改进”的逻辑主线，体现了标准编制的系统性和完整性。</w:t>
      </w:r>
      <w:r>
        <w:rPr>
          <w:rFonts w:hint="eastAsia" w:ascii="仿宋_GB2312" w:hAnsi="仿宋_GB2312" w:eastAsia="仿宋_GB2312" w:cs="仿宋_GB2312"/>
          <w:sz w:val="28"/>
          <w:szCs w:val="28"/>
        </w:rPr>
        <w:t>主要有以下</w:t>
      </w:r>
      <w:r>
        <w:rPr>
          <w:rFonts w:hint="eastAsia" w:ascii="仿宋_GB2312" w:hAnsi="仿宋_GB2312" w:eastAsia="仿宋_GB2312" w:cs="仿宋_GB2312"/>
          <w:sz w:val="28"/>
          <w:szCs w:val="28"/>
        </w:rPr>
        <w:t>核心部分</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t xml:space="preserve"> </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1、适用范围</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本文件适用于邮政快递企业建设无人值守快递驿站终端服务场所的规划建设和运营</w:t>
      </w:r>
      <w:r>
        <w:rPr>
          <w:rFonts w:hint="eastAsia" w:ascii="仿宋_GB2312" w:hAnsi="仿宋_GB2312" w:eastAsia="仿宋_GB2312" w:cs="仿宋_GB2312"/>
          <w:sz w:val="28"/>
          <w:szCs w:val="28"/>
        </w:rPr>
        <w:t>管理。</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rPr>
        <w:t>选址与布局</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本文件参考</w:t>
      </w:r>
      <w:r>
        <w:rPr>
          <w:rFonts w:hint="eastAsia" w:ascii="仿宋_GB2312" w:hAnsi="仿宋_GB2312" w:eastAsia="仿宋_GB2312" w:cs="仿宋_GB2312"/>
          <w:sz w:val="28"/>
          <w:szCs w:val="28"/>
        </w:rPr>
        <w:t>YZ/T 0137-2015第7章“设施设备”中关于营业场所通用设施设备的相关要求，同时结合了《快递末端网点备案暂行规定》关于无人驿站视频监控全覆盖的实际需要，</w:t>
      </w:r>
      <w:r>
        <w:rPr>
          <w:rFonts w:hint="eastAsia" w:ascii="仿宋_GB2312" w:hAnsi="仿宋_GB2312" w:eastAsia="仿宋_GB2312" w:cs="仿宋_GB2312"/>
          <w:sz w:val="28"/>
          <w:szCs w:val="28"/>
        </w:rPr>
        <w:t>指导</w:t>
      </w:r>
      <w:r>
        <w:rPr>
          <w:rFonts w:hint="eastAsia" w:ascii="仿宋_GB2312" w:hAnsi="仿宋_GB2312" w:eastAsia="仿宋_GB2312" w:cs="仿宋_GB2312"/>
          <w:sz w:val="28"/>
          <w:szCs w:val="28"/>
        </w:rPr>
        <w:t>了</w:t>
      </w:r>
      <w:r>
        <w:rPr>
          <w:rFonts w:hint="eastAsia" w:ascii="仿宋_GB2312" w:hAnsi="仿宋_GB2312" w:eastAsia="仿宋_GB2312" w:cs="仿宋_GB2312"/>
          <w:sz w:val="28"/>
          <w:szCs w:val="28"/>
        </w:rPr>
        <w:t>无人驿站</w:t>
      </w:r>
      <w:r>
        <w:rPr>
          <w:rFonts w:hint="eastAsia" w:ascii="仿宋_GB2312" w:hAnsi="仿宋_GB2312" w:eastAsia="仿宋_GB2312" w:cs="仿宋_GB2312"/>
          <w:sz w:val="28"/>
          <w:szCs w:val="28"/>
        </w:rPr>
        <w:t>场所布局要求，包括设置废弃物分类回收装置、张贴标识标牌，设置清晰规范的操作流程、安全警示及应急联系标识标牌，在明显位置公示服务时间、服务种类、服务承诺、禁寄物品目录、实名收寄和收寄验视制度、服务电话、监督投诉电话等内容，以及场所内设施设备的摆放不阻碍监控设备的有效视野。</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rPr>
        <w:t>组织建设</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本文件参考</w:t>
      </w:r>
      <w:r>
        <w:rPr>
          <w:rFonts w:hint="eastAsia" w:ascii="仿宋_GB2312" w:hAnsi="仿宋_GB2312" w:eastAsia="仿宋_GB2312" w:cs="仿宋_GB2312"/>
          <w:sz w:val="28"/>
          <w:szCs w:val="28"/>
        </w:rPr>
        <w:t>GB/T 27917.2-2023《快递服务 第2部分：组织要求》、YZ/T 0145-2015《快递末端投递服务规范》以及《智能快件箱寄递服务管理办法》中关于运营管理的要求，</w:t>
      </w:r>
      <w:r>
        <w:rPr>
          <w:rFonts w:hint="eastAsia" w:ascii="仿宋_GB2312" w:hAnsi="仿宋_GB2312" w:eastAsia="仿宋_GB2312" w:cs="仿宋_GB2312"/>
          <w:sz w:val="28"/>
          <w:szCs w:val="28"/>
        </w:rPr>
        <w:t>建议建立</w:t>
      </w:r>
      <w:r>
        <w:rPr>
          <w:rFonts w:hint="eastAsia" w:ascii="仿宋_GB2312" w:hAnsi="仿宋_GB2312" w:eastAsia="仿宋_GB2312" w:cs="仿宋_GB2312"/>
          <w:sz w:val="28"/>
          <w:szCs w:val="28"/>
        </w:rPr>
        <w:t>七项管理制度</w:t>
      </w:r>
      <w:r>
        <w:rPr>
          <w:rFonts w:hint="eastAsia" w:ascii="仿宋_GB2312" w:hAnsi="仿宋_GB2312" w:eastAsia="仿宋_GB2312" w:cs="仿宋_GB2312"/>
          <w:sz w:val="28"/>
          <w:szCs w:val="28"/>
        </w:rPr>
        <w:t>和</w:t>
      </w:r>
      <w:r>
        <w:rPr>
          <w:rFonts w:hint="eastAsia" w:ascii="仿宋_GB2312" w:hAnsi="仿宋_GB2312" w:eastAsia="仿宋_GB2312" w:cs="仿宋_GB2312"/>
          <w:sz w:val="28"/>
          <w:szCs w:val="28"/>
        </w:rPr>
        <w:t>配备的四类从业人员。</w:t>
      </w:r>
      <w:r>
        <w:rPr>
          <w:rFonts w:hint="eastAsia" w:ascii="仿宋_GB2312" w:hAnsi="仿宋_GB2312" w:eastAsia="仿宋_GB2312" w:cs="仿宋_GB2312"/>
          <w:b/>
          <w:sz w:val="28"/>
          <w:szCs w:val="28"/>
        </w:rPr>
        <w:t>制度的设置</w:t>
      </w:r>
      <w:r>
        <w:rPr>
          <w:rFonts w:hint="eastAsia" w:ascii="仿宋_GB2312" w:hAnsi="仿宋_GB2312" w:eastAsia="仿宋_GB2312" w:cs="仿宋_GB2312"/>
          <w:sz w:val="28"/>
          <w:szCs w:val="28"/>
        </w:rPr>
        <w:t xml:space="preserve">覆盖了驿站运营的全部关键环节，旨在为无人驿站的规范化运营提供制度保障。无人驿站虽为“无人值守”模式，但并非“无人管理”。 </w:t>
      </w:r>
      <w:r>
        <w:rPr>
          <w:rFonts w:hint="eastAsia" w:ascii="仿宋_GB2312" w:hAnsi="仿宋_GB2312" w:eastAsia="仿宋_GB2312" w:cs="仿宋_GB2312"/>
          <w:b/>
          <w:sz w:val="28"/>
          <w:szCs w:val="28"/>
        </w:rPr>
        <w:t>从业人员</w:t>
      </w:r>
      <w:r>
        <w:rPr>
          <w:rFonts w:hint="eastAsia" w:ascii="仿宋_GB2312" w:hAnsi="仿宋_GB2312" w:eastAsia="仿宋_GB2312" w:cs="仿宋_GB2312"/>
          <w:b/>
          <w:sz w:val="28"/>
          <w:szCs w:val="28"/>
        </w:rPr>
        <w:t>中，</w:t>
      </w:r>
      <w:r>
        <w:rPr>
          <w:rFonts w:hint="eastAsia" w:ascii="仿宋_GB2312" w:hAnsi="仿宋_GB2312" w:eastAsia="仿宋_GB2312" w:cs="仿宋_GB2312"/>
          <w:sz w:val="28"/>
          <w:szCs w:val="28"/>
        </w:rPr>
        <w:t>远程客服人员是基于现有无人驿站运营实践经验，用于解决用户在自助取件过程中遇到的困难；高峰期辅助人员主要考虑“双十一”等快递业务旺季的特殊需求以及老年人、残疾人等特殊群体的使用需求。</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r>
        <w:rPr>
          <w:rFonts w:hint="eastAsia" w:ascii="仿宋_GB2312" w:hAnsi="仿宋_GB2312" w:eastAsia="仿宋_GB2312" w:cs="仿宋_GB2312"/>
          <w:sz w:val="28"/>
          <w:szCs w:val="28"/>
        </w:rPr>
        <w:t>设施设备</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本文件</w:t>
      </w:r>
      <w:r>
        <w:rPr>
          <w:rFonts w:hint="eastAsia" w:ascii="仿宋_GB2312" w:hAnsi="仿宋_GB2312" w:eastAsia="仿宋_GB2312" w:cs="仿宋_GB2312"/>
          <w:sz w:val="28"/>
          <w:szCs w:val="28"/>
        </w:rPr>
        <w:t>从基础保障设备、货架、条码识读设备、称重传感器、自助查件终端/</w:t>
      </w:r>
      <w:r>
        <w:rPr>
          <w:rFonts w:hint="eastAsia" w:ascii="仿宋_GB2312" w:hAnsi="仿宋_GB2312" w:eastAsia="仿宋_GB2312" w:cs="仿宋_GB2312"/>
          <w:sz w:val="28"/>
          <w:szCs w:val="28"/>
        </w:rPr>
        <w:t>取件一体机</w:t>
      </w:r>
      <w:r>
        <w:rPr>
          <w:rFonts w:hint="eastAsia" w:ascii="仿宋_GB2312" w:hAnsi="仿宋_GB2312" w:eastAsia="仿宋_GB2312" w:cs="仿宋_GB2312"/>
          <w:sz w:val="28"/>
          <w:szCs w:val="28"/>
        </w:rPr>
        <w:t>、引导设备、智能摄像机、烟感检测设备八个方面提出了设施设备的配置和技术要求。重点包括：</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sz w:val="28"/>
          <w:szCs w:val="28"/>
        </w:rPr>
        <w:t>（1）基础</w:t>
      </w:r>
      <w:r>
        <w:rPr>
          <w:rFonts w:hint="eastAsia" w:ascii="仿宋_GB2312" w:hAnsi="仿宋_GB2312" w:eastAsia="仿宋_GB2312" w:cs="仿宋_GB2312"/>
          <w:bCs/>
          <w:sz w:val="28"/>
          <w:szCs w:val="28"/>
        </w:rPr>
        <w:t>支撑</w:t>
      </w:r>
      <w:r>
        <w:rPr>
          <w:rFonts w:hint="eastAsia" w:ascii="仿宋_GB2312" w:hAnsi="仿宋_GB2312" w:eastAsia="仿宋_GB2312" w:cs="仿宋_GB2312"/>
          <w:bCs/>
          <w:sz w:val="28"/>
          <w:szCs w:val="28"/>
        </w:rPr>
        <w:t>设备</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规定了供电设施、网络设备、环境控制设备、照明设备等基础保障设施的要求。其中，供电设施要求配备不间断电源（UPS）或发电机接口，至少保障门禁系统、安防监控、网络设备等关键设备在断电后10分钟内正常运行。该时限要求参考了YZ/T 0133-2013《智能快件箱》第13.1.2条关于不间断电源“电池持续供电时间应不小于10min”的规定。网络设备要求支持有线与无线备份，具备断网本地缓存与续传机制，旨在确保无人驿站在网络异常时仍能维持基本服务功能。</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sz w:val="28"/>
          <w:szCs w:val="28"/>
        </w:rPr>
        <w:t>（2）货架</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根据研讨会专家建议和</w:t>
      </w:r>
      <w:r>
        <w:rPr>
          <w:rFonts w:hint="eastAsia" w:ascii="仿宋_GB2312" w:hAnsi="仿宋_GB2312" w:eastAsia="仿宋_GB2312" w:cs="仿宋_GB2312"/>
          <w:sz w:val="28"/>
          <w:szCs w:val="28"/>
        </w:rPr>
        <w:t>实践经验总结</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t>基于快递包裹常见重量分布的统计分析及安全余量设计。</w:t>
      </w:r>
      <w:r>
        <w:rPr>
          <w:rFonts w:hint="eastAsia" w:ascii="仿宋_GB2312" w:hAnsi="仿宋_GB2312" w:eastAsia="仿宋_GB2312" w:cs="仿宋_GB2312"/>
          <w:sz w:val="28"/>
          <w:szCs w:val="28"/>
        </w:rPr>
        <w:t>建议</w:t>
      </w:r>
      <w:r>
        <w:rPr>
          <w:rFonts w:hint="eastAsia" w:ascii="仿宋_GB2312" w:hAnsi="仿宋_GB2312" w:eastAsia="仿宋_GB2312" w:cs="仿宋_GB2312"/>
          <w:sz w:val="28"/>
          <w:szCs w:val="28"/>
        </w:rPr>
        <w:t>货架</w:t>
      </w:r>
      <w:r>
        <w:rPr>
          <w:rFonts w:hint="eastAsia" w:ascii="仿宋_GB2312" w:hAnsi="仿宋_GB2312" w:eastAsia="仿宋_GB2312" w:cs="仿宋_GB2312"/>
          <w:sz w:val="28"/>
          <w:szCs w:val="28"/>
        </w:rPr>
        <w:t>进行</w:t>
      </w:r>
      <w:r>
        <w:rPr>
          <w:rFonts w:hint="eastAsia" w:ascii="仿宋_GB2312" w:hAnsi="仿宋_GB2312" w:eastAsia="仿宋_GB2312" w:cs="仿宋_GB2312"/>
          <w:sz w:val="28"/>
          <w:szCs w:val="28"/>
        </w:rPr>
        <w:t>承重分级要求，分为轻型（≤5kg）、中型（5kg～15kg）、重型（＞15kg）三级，明确各层的额定承重（轻型不低于8kg、中型不低于20kg、重型不低于30kg）。</w:t>
      </w:r>
      <w:r>
        <w:rPr>
          <w:rFonts w:hint="eastAsia" w:ascii="仿宋_GB2312" w:hAnsi="仿宋_GB2312" w:eastAsia="仿宋_GB2312" w:cs="仿宋_GB2312"/>
          <w:sz w:val="28"/>
          <w:szCs w:val="28"/>
        </w:rPr>
        <w:t>明确</w:t>
      </w:r>
      <w:r>
        <w:rPr>
          <w:rFonts w:hint="eastAsia" w:ascii="仿宋_GB2312" w:hAnsi="仿宋_GB2312" w:eastAsia="仿宋_GB2312" w:cs="仿宋_GB2312"/>
          <w:sz w:val="28"/>
          <w:szCs w:val="28"/>
        </w:rPr>
        <w:t>按包裹重量进行承重分级。该数据虽无直接对应的标准条款，但符合快递行业实际运营数据和安全工程的一般原则。</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sz w:val="28"/>
          <w:szCs w:val="28"/>
        </w:rPr>
        <w:t>（3）条码识读设备</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根据行业采购实践经验，建议</w:t>
      </w:r>
      <w:r>
        <w:rPr>
          <w:rFonts w:hint="eastAsia" w:ascii="仿宋_GB2312" w:hAnsi="仿宋_GB2312" w:eastAsia="仿宋_GB2312" w:cs="仿宋_GB2312"/>
          <w:sz w:val="28"/>
          <w:szCs w:val="28"/>
        </w:rPr>
        <w:t>分辨率不低于500万像素</w:t>
      </w:r>
      <w:r>
        <w:rPr>
          <w:rFonts w:hint="eastAsia" w:ascii="仿宋_GB2312" w:hAnsi="仿宋_GB2312" w:eastAsia="仿宋_GB2312" w:cs="仿宋_GB2312"/>
          <w:bCs/>
          <w:sz w:val="28"/>
          <w:szCs w:val="28"/>
        </w:rPr>
        <w:t>，是确保面单图像清晰可识别、满足后续OCR识别或人工查证的基本要求，代表了当前快递末端服务设备的通用技术水平。该指标未直接引用国家标准条款，而是对市场成熟技术参数的提炼。快速响应能力及良好的环境光适应性，</w:t>
      </w:r>
      <w:r>
        <w:rPr>
          <w:rFonts w:hint="eastAsia" w:ascii="仿宋_GB2312" w:hAnsi="仿宋_GB2312" w:eastAsia="仿宋_GB2312" w:cs="仿宋_GB2312"/>
          <w:sz w:val="28"/>
          <w:szCs w:val="28"/>
        </w:rPr>
        <w:t>支持主流一维、二维条码格式；</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sz w:val="28"/>
          <w:szCs w:val="28"/>
        </w:rPr>
        <w:t>（4）称重传感器</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重传感器用于入库时记录包裹重量、出库时辅助校验，若称重结果用于计费，计量误差宜符合GB/T 7551《称重传感器》第5部分的规定。GB/T 7551《称重传感器》是称重传感器的基础性国家标准，规定了称重传感器的准确度等级和技术要求。若称重结果用于计费，应按照国家计量器具强制检定的要求进行检定</w:t>
      </w:r>
      <w:r>
        <w:rPr>
          <w:rFonts w:hint="eastAsia" w:ascii="仿宋_GB2312" w:hAnsi="仿宋_GB2312" w:eastAsia="仿宋_GB2312" w:cs="仿宋_GB2312"/>
          <w:bCs/>
          <w:sz w:val="28"/>
          <w:szCs w:val="28"/>
        </w:rPr>
        <w:t>。</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（5）</w:t>
      </w:r>
      <w:r>
        <w:rPr>
          <w:rFonts w:hint="eastAsia" w:ascii="仿宋_GB2312" w:hAnsi="仿宋_GB2312" w:eastAsia="仿宋_GB2312" w:cs="仿宋_GB2312"/>
          <w:sz w:val="28"/>
          <w:szCs w:val="28"/>
        </w:rPr>
        <w:t>自助查件终端/取件一体机</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自助查件终端/取件一体机即快递业务系统终端，</w:t>
      </w:r>
      <w:r>
        <w:rPr>
          <w:rFonts w:hint="eastAsia" w:ascii="仿宋_GB2312" w:hAnsi="仿宋_GB2312" w:eastAsia="仿宋_GB2312" w:cs="仿宋_GB2312"/>
          <w:bCs/>
          <w:sz w:val="28"/>
          <w:szCs w:val="28"/>
        </w:rPr>
        <w:t>本文件参考</w:t>
      </w:r>
      <w:r>
        <w:rPr>
          <w:rFonts w:hint="eastAsia" w:ascii="仿宋_GB2312" w:hAnsi="仿宋_GB2312" w:eastAsia="仿宋_GB2312" w:cs="仿宋_GB2312"/>
          <w:bCs/>
          <w:sz w:val="28"/>
          <w:szCs w:val="28"/>
        </w:rPr>
        <w:t>YZ/T 0145-2015关于末端投递信息化服务的要求，</w:t>
      </w:r>
      <w:r>
        <w:rPr>
          <w:rFonts w:hint="eastAsia" w:ascii="仿宋_GB2312" w:hAnsi="仿宋_GB2312" w:eastAsia="仿宋_GB2312" w:cs="仿宋_GB2312"/>
          <w:bCs/>
          <w:sz w:val="28"/>
          <w:szCs w:val="28"/>
        </w:rPr>
        <w:t>终端设备需</w:t>
      </w:r>
      <w:r>
        <w:rPr>
          <w:rFonts w:hint="eastAsia" w:ascii="仿宋_GB2312" w:hAnsi="仿宋_GB2312" w:eastAsia="仿宋_GB2312" w:cs="仿宋_GB2312"/>
          <w:bCs/>
          <w:sz w:val="28"/>
          <w:szCs w:val="28"/>
        </w:rPr>
        <w:t>与快递服务组织总部的快递管理系统联网，实现相关电子数据的传送、交换。旨在确保驿站业务系统能够与快递企业信息系统实现数据互通，保障快件信息的实时同步。</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sz w:val="28"/>
          <w:szCs w:val="28"/>
        </w:rPr>
        <w:t>（6）</w:t>
      </w:r>
      <w:r>
        <w:rPr>
          <w:rFonts w:hint="eastAsia" w:ascii="仿宋_GB2312" w:hAnsi="仿宋_GB2312" w:eastAsia="仿宋_GB2312" w:cs="仿宋_GB2312"/>
          <w:bCs/>
          <w:sz w:val="28"/>
          <w:szCs w:val="28"/>
        </w:rPr>
        <w:t>引导设备</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本文件</w:t>
      </w:r>
      <w:r>
        <w:rPr>
          <w:rFonts w:hint="eastAsia" w:ascii="仿宋_GB2312" w:hAnsi="仿宋_GB2312" w:eastAsia="仿宋_GB2312" w:cs="仿宋_GB2312"/>
          <w:sz w:val="28"/>
          <w:szCs w:val="28"/>
        </w:rPr>
        <w:t>从供电方式、通信方式、响应时间、并行能力、引导方式五个方面对引导设备提出了技术要求。其中，</w:t>
      </w:r>
      <w:r>
        <w:rPr>
          <w:rFonts w:hint="eastAsia" w:ascii="仿宋_GB2312" w:hAnsi="仿宋_GB2312" w:eastAsia="仿宋_GB2312" w:cs="仿宋_GB2312"/>
          <w:b/>
          <w:sz w:val="28"/>
          <w:szCs w:val="28"/>
        </w:rPr>
        <w:t>响应时间</w:t>
      </w:r>
      <w:r>
        <w:rPr>
          <w:rFonts w:hint="eastAsia" w:ascii="仿宋_GB2312" w:hAnsi="仿宋_GB2312" w:eastAsia="仿宋_GB2312" w:cs="仿宋_GB2312"/>
          <w:sz w:val="28"/>
          <w:szCs w:val="28"/>
        </w:rPr>
        <w:t>整体不超过3秒的指标，主要参考了MH/T 4042—2023《高级场面活动引导与控制系统技术规范》第5.11.27条关于“系统计算并发送灯光控制指令的响应时间应不大于2s”的规定，并结合无人驿站用户取件体验的实际需要确定。</w:t>
      </w:r>
      <w:r>
        <w:rPr>
          <w:rFonts w:hint="eastAsia" w:ascii="仿宋_GB2312" w:hAnsi="仿宋_GB2312" w:eastAsia="仿宋_GB2312" w:cs="仿宋_GB2312"/>
          <w:b/>
          <w:sz w:val="28"/>
          <w:szCs w:val="28"/>
        </w:rPr>
        <w:t>供电方式</w:t>
      </w:r>
      <w:r>
        <w:rPr>
          <w:rFonts w:hint="eastAsia" w:ascii="仿宋_GB2312" w:hAnsi="仿宋_GB2312" w:eastAsia="仿宋_GB2312" w:cs="仿宋_GB2312"/>
          <w:sz w:val="28"/>
          <w:szCs w:val="28"/>
        </w:rPr>
        <w:t>（内置电池供电）和通信方式（低功耗无线协议）的要求来源于T/WXIOT 005-2026《应用于货物管理的无线有源声光标签技术要求》中关于无线有源声光标签的相关规定。</w:t>
      </w:r>
      <w:r>
        <w:rPr>
          <w:rFonts w:hint="eastAsia" w:ascii="仿宋_GB2312" w:hAnsi="仿宋_GB2312" w:eastAsia="仿宋_GB2312" w:cs="仿宋_GB2312"/>
          <w:b/>
          <w:sz w:val="28"/>
          <w:szCs w:val="28"/>
        </w:rPr>
        <w:t>并行能力</w:t>
      </w:r>
      <w:r>
        <w:rPr>
          <w:rFonts w:hint="eastAsia" w:ascii="仿宋_GB2312" w:hAnsi="仿宋_GB2312" w:eastAsia="仿宋_GB2312" w:cs="仿宋_GB2312"/>
          <w:sz w:val="28"/>
          <w:szCs w:val="28"/>
        </w:rPr>
        <w:t>的要求（多用户并行取件互不干扰）是基于现有无人驿站声光标签（灯条）设备的实际技术能力，典型产品已支持不少于7种颜色同时引导。</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sz w:val="28"/>
          <w:szCs w:val="28"/>
        </w:rPr>
        <w:t>（7）智能摄像机</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本文件规定了智能摄像机的三项核心功能：日夜场景自适应功能、双向语音对讲功能、异常事件输出功能。</w:t>
      </w:r>
      <w:r>
        <w:rPr>
          <w:rFonts w:hint="eastAsia" w:ascii="仿宋_GB2312" w:hAnsi="仿宋_GB2312" w:eastAsia="仿宋_GB2312" w:cs="仿宋_GB2312"/>
          <w:sz w:val="28"/>
          <w:szCs w:val="28"/>
        </w:rPr>
        <w:t>其中，</w:t>
      </w:r>
      <w:r>
        <w:rPr>
          <w:rFonts w:hint="eastAsia" w:ascii="仿宋_GB2312" w:hAnsi="仿宋_GB2312" w:eastAsia="仿宋_GB2312" w:cs="仿宋_GB2312"/>
          <w:b/>
          <w:sz w:val="28"/>
          <w:szCs w:val="28"/>
        </w:rPr>
        <w:t>日夜场景自适应功能</w:t>
      </w:r>
      <w:r>
        <w:rPr>
          <w:rFonts w:hint="eastAsia" w:ascii="仿宋_GB2312" w:hAnsi="仿宋_GB2312" w:eastAsia="仿宋_GB2312" w:cs="仿宋_GB2312"/>
          <w:sz w:val="28"/>
          <w:szCs w:val="28"/>
        </w:rPr>
        <w:t>是视频监控摄像机的基本技术要求，来源于GA/T 1127-2025《安全防范视频监控摄像机》关于摄像机环境适应性的规定；</w:t>
      </w:r>
      <w:r>
        <w:rPr>
          <w:rFonts w:hint="eastAsia" w:ascii="仿宋_GB2312" w:hAnsi="仿宋_GB2312" w:eastAsia="仿宋_GB2312" w:cs="仿宋_GB2312"/>
          <w:b/>
          <w:sz w:val="28"/>
          <w:szCs w:val="28"/>
        </w:rPr>
        <w:t>双向语音对讲功能</w:t>
      </w:r>
      <w:r>
        <w:rPr>
          <w:rFonts w:hint="eastAsia" w:ascii="仿宋_GB2312" w:hAnsi="仿宋_GB2312" w:eastAsia="仿宋_GB2312" w:cs="仿宋_GB2312"/>
          <w:sz w:val="28"/>
          <w:szCs w:val="28"/>
        </w:rPr>
        <w:t>要求符合GB/T 28181-2016《公共安全视频监控联网系统信息传输、交换、控制技术要求》第7.12条的规定，支持监控中心与现场用户之间的双向实时通话；</w:t>
      </w:r>
      <w:r>
        <w:rPr>
          <w:rFonts w:hint="eastAsia" w:ascii="仿宋_GB2312" w:hAnsi="仿宋_GB2312" w:eastAsia="仿宋_GB2312" w:cs="仿宋_GB2312"/>
          <w:b/>
          <w:sz w:val="28"/>
          <w:szCs w:val="28"/>
        </w:rPr>
        <w:t>异常事件输出功能</w:t>
      </w:r>
      <w:r>
        <w:rPr>
          <w:rFonts w:hint="eastAsia" w:ascii="仿宋_GB2312" w:hAnsi="仿宋_GB2312" w:eastAsia="仿宋_GB2312" w:cs="仿宋_GB2312"/>
          <w:sz w:val="28"/>
          <w:szCs w:val="28"/>
        </w:rPr>
        <w:t>（非授权登录、网络异常、自检异常、物理劫持等触发报警）是无人场景下视频监控智能化需求的具体体现。</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bCs/>
          <w:sz w:val="28"/>
          <w:szCs w:val="28"/>
        </w:rPr>
        <w:t>8. 烟感检测设备</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本文件规定了烟感检测设备的火灾报警功能、消音功能、自检功能。</w:t>
      </w:r>
      <w:r>
        <w:rPr>
          <w:rFonts w:hint="eastAsia" w:ascii="仿宋_GB2312" w:hAnsi="仿宋_GB2312" w:eastAsia="仿宋_GB2312" w:cs="仿宋_GB2312"/>
          <w:sz w:val="28"/>
          <w:szCs w:val="28"/>
        </w:rPr>
        <w:t>其中，</w:t>
      </w:r>
      <w:r>
        <w:rPr>
          <w:rFonts w:hint="eastAsia" w:ascii="仿宋_GB2312" w:hAnsi="仿宋_GB2312" w:eastAsia="仿宋_GB2312" w:cs="仿宋_GB2312"/>
          <w:b/>
          <w:sz w:val="28"/>
          <w:szCs w:val="28"/>
        </w:rPr>
        <w:t>火灾报警功能</w:t>
      </w:r>
      <w:r>
        <w:rPr>
          <w:rFonts w:hint="eastAsia" w:ascii="仿宋_GB2312" w:hAnsi="仿宋_GB2312" w:eastAsia="仿宋_GB2312" w:cs="仿宋_GB2312"/>
          <w:sz w:val="28"/>
          <w:szCs w:val="28"/>
        </w:rPr>
        <w:t>要求“当被监视区域烟参数达到预定值时，报警器发出火灾报警声、光信号”，</w:t>
      </w:r>
      <w:r>
        <w:rPr>
          <w:rFonts w:hint="eastAsia" w:ascii="仿宋_GB2312" w:hAnsi="仿宋_GB2312" w:eastAsia="仿宋_GB2312" w:cs="仿宋_GB2312"/>
          <w:b/>
          <w:sz w:val="28"/>
          <w:szCs w:val="28"/>
        </w:rPr>
        <w:t>消音功能</w:t>
      </w:r>
      <w:r>
        <w:rPr>
          <w:rFonts w:hint="eastAsia" w:ascii="仿宋_GB2312" w:hAnsi="仿宋_GB2312" w:eastAsia="仿宋_GB2312" w:cs="仿宋_GB2312"/>
          <w:sz w:val="28"/>
          <w:szCs w:val="28"/>
        </w:rPr>
        <w:t>要求“采用无线遥控方式和按键方式实现消音功能，消音周期不小于5min且不大于15min”，</w:t>
      </w:r>
      <w:r>
        <w:rPr>
          <w:rFonts w:hint="eastAsia" w:ascii="仿宋_GB2312" w:hAnsi="仿宋_GB2312" w:eastAsia="仿宋_GB2312" w:cs="仿宋_GB2312"/>
          <w:b/>
          <w:sz w:val="28"/>
          <w:szCs w:val="28"/>
        </w:rPr>
        <w:t>自检功能</w:t>
      </w:r>
      <w:r>
        <w:rPr>
          <w:rFonts w:hint="eastAsia" w:ascii="仿宋_GB2312" w:hAnsi="仿宋_GB2312" w:eastAsia="仿宋_GB2312" w:cs="仿宋_GB2312"/>
          <w:sz w:val="28"/>
          <w:szCs w:val="28"/>
        </w:rPr>
        <w:t>要求“能对其音响器件及指示灯进行功能检查，自检时不输出火灾报警触发信号”。上述三项功能的确定依据为GB 20517《独立式感烟火灾探测报警器》的相关规定，该标准是独立式感烟火灾探测报警器的强制性产品标准。消音周期的具体数值范围（5min～15min）直接引自GB 20517。</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r>
        <w:rPr>
          <w:rFonts w:hint="eastAsia" w:ascii="仿宋_GB2312" w:hAnsi="仿宋_GB2312" w:eastAsia="仿宋_GB2312" w:cs="仿宋_GB2312"/>
          <w:sz w:val="28"/>
          <w:szCs w:val="28"/>
        </w:rPr>
        <w:t>智能化管理平台</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本章是标准的核心技术内容之一，从整体架构、智能化管理平台、智能门禁系统、安防与监控系统、快递业务系统、智能引导系统六个方面提出了系统建设的技术要求。</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t>整体架构</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无人驿站整体架构</w:t>
      </w:r>
      <w:r>
        <w:rPr>
          <w:rFonts w:hint="eastAsia" w:ascii="仿宋_GB2312" w:hAnsi="仿宋_GB2312" w:eastAsia="仿宋_GB2312" w:cs="仿宋_GB2312"/>
          <w:sz w:val="28"/>
          <w:szCs w:val="28"/>
        </w:rPr>
        <w:t>分为</w:t>
      </w:r>
      <w:r>
        <w:rPr>
          <w:rFonts w:hint="eastAsia" w:ascii="仿宋_GB2312" w:hAnsi="仿宋_GB2312" w:eastAsia="仿宋_GB2312" w:cs="仿宋_GB2312"/>
          <w:sz w:val="28"/>
          <w:szCs w:val="28"/>
        </w:rPr>
        <w:t>用户层、接入层、业务层（智能化管理平台）、执行层（智能硬件设备）和基础支撑层</w:t>
      </w:r>
      <w:r>
        <w:rPr>
          <w:rFonts w:hint="eastAsia" w:ascii="仿宋_GB2312" w:hAnsi="仿宋_GB2312" w:eastAsia="仿宋_GB2312" w:cs="仿宋_GB2312"/>
          <w:sz w:val="28"/>
          <w:szCs w:val="28"/>
        </w:rPr>
        <w:t>等</w:t>
      </w:r>
      <w:r>
        <w:rPr>
          <w:rFonts w:hint="eastAsia" w:ascii="仿宋_GB2312" w:hAnsi="仿宋_GB2312" w:eastAsia="仿宋_GB2312" w:cs="仿宋_GB2312"/>
          <w:sz w:val="28"/>
          <w:szCs w:val="28"/>
        </w:rPr>
        <w:t>五层结构。五层架构的划分参考了GB/T 26718-2024《城市轨道交通安全防范系统技术要求》中安防集成平台的分层架构思想，并结合无人驿站“物联网+安防+快递服务”的复合场景进行了适应性设计。</w:t>
      </w:r>
      <w:r>
        <w:rPr>
          <w:rFonts w:hint="eastAsia" w:ascii="仿宋_GB2312" w:hAnsi="仿宋_GB2312" w:eastAsia="仿宋_GB2312" w:cs="仿宋_GB2312"/>
          <w:b/>
          <w:sz w:val="28"/>
          <w:szCs w:val="28"/>
        </w:rPr>
        <w:t>用户层</w:t>
      </w:r>
      <w:r>
        <w:rPr>
          <w:rFonts w:hint="eastAsia" w:ascii="仿宋_GB2312" w:hAnsi="仿宋_GB2312" w:eastAsia="仿宋_GB2312" w:cs="仿宋_GB2312"/>
          <w:sz w:val="28"/>
          <w:szCs w:val="28"/>
        </w:rPr>
        <w:t>定义了三类核心用户角色，</w:t>
      </w:r>
      <w:r>
        <w:rPr>
          <w:rFonts w:hint="eastAsia" w:ascii="仿宋_GB2312" w:hAnsi="仿宋_GB2312" w:eastAsia="仿宋_GB2312" w:cs="仿宋_GB2312"/>
          <w:b/>
          <w:sz w:val="28"/>
          <w:szCs w:val="28"/>
        </w:rPr>
        <w:t>接入层</w:t>
      </w:r>
      <w:r>
        <w:rPr>
          <w:rFonts w:hint="eastAsia" w:ascii="仿宋_GB2312" w:hAnsi="仿宋_GB2312" w:eastAsia="仿宋_GB2312" w:cs="仿宋_GB2312"/>
          <w:sz w:val="28"/>
          <w:szCs w:val="28"/>
        </w:rPr>
        <w:t>提供了多种人机交互入口，</w:t>
      </w:r>
      <w:r>
        <w:rPr>
          <w:rFonts w:hint="eastAsia" w:ascii="仿宋_GB2312" w:hAnsi="仿宋_GB2312" w:eastAsia="仿宋_GB2312" w:cs="仿宋_GB2312"/>
          <w:b/>
          <w:sz w:val="28"/>
          <w:szCs w:val="28"/>
        </w:rPr>
        <w:t>业务层</w:t>
      </w:r>
      <w:r>
        <w:rPr>
          <w:rFonts w:hint="eastAsia" w:ascii="仿宋_GB2312" w:hAnsi="仿宋_GB2312" w:eastAsia="仿宋_GB2312" w:cs="仿宋_GB2312"/>
          <w:sz w:val="28"/>
          <w:szCs w:val="28"/>
        </w:rPr>
        <w:t>以智能化管理平台为核心中枢，</w:t>
      </w:r>
      <w:r>
        <w:rPr>
          <w:rFonts w:hint="eastAsia" w:ascii="仿宋_GB2312" w:hAnsi="仿宋_GB2312" w:eastAsia="仿宋_GB2312" w:cs="仿宋_GB2312"/>
          <w:b/>
          <w:sz w:val="28"/>
          <w:szCs w:val="28"/>
        </w:rPr>
        <w:t>执行层</w:t>
      </w:r>
      <w:r>
        <w:rPr>
          <w:rFonts w:hint="eastAsia" w:ascii="仿宋_GB2312" w:hAnsi="仿宋_GB2312" w:eastAsia="仿宋_GB2312" w:cs="仿宋_GB2312"/>
          <w:sz w:val="28"/>
          <w:szCs w:val="28"/>
        </w:rPr>
        <w:t>由四大子系统组成，</w:t>
      </w:r>
      <w:r>
        <w:rPr>
          <w:rFonts w:hint="eastAsia" w:ascii="仿宋_GB2312" w:hAnsi="仿宋_GB2312" w:eastAsia="仿宋_GB2312" w:cs="仿宋_GB2312"/>
          <w:b/>
          <w:sz w:val="28"/>
          <w:szCs w:val="28"/>
        </w:rPr>
        <w:t>基础支撑层</w:t>
      </w:r>
      <w:r>
        <w:rPr>
          <w:rFonts w:hint="eastAsia" w:ascii="仿宋_GB2312" w:hAnsi="仿宋_GB2312" w:eastAsia="仿宋_GB2312" w:cs="仿宋_GB2312"/>
          <w:sz w:val="28"/>
          <w:szCs w:val="28"/>
        </w:rPr>
        <w:t>提供运行保障。各层之间通过标准通信协议互联互通，体现了分层解耦、智能联动的设计理念。</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（2）智能化管理平台</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本文件</w:t>
      </w:r>
      <w:r>
        <w:rPr>
          <w:rFonts w:hint="eastAsia" w:ascii="仿宋_GB2312" w:hAnsi="仿宋_GB2312" w:eastAsia="仿宋_GB2312" w:cs="仿宋_GB2312"/>
          <w:sz w:val="28"/>
          <w:szCs w:val="28"/>
        </w:rPr>
        <w:t>从系统集成、性能稳定、数据安全、数据互通、远程维护、人机交互六个方面规定了智能化管理平台的功能要求。平台宜支持7×24小时不间断运行（性能稳定要求参考了GB/T 37546-2019《无人值守变电站监控系统技术规范》第5.2条关于24h连续工作的规定），具备与主流快递企业信息系统进行数据交换的能力（数据互通要求源于YZ/T 0133-2013第4章关于数据中心与系统对接的规定）。</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（3）智能门禁系统</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本文件规定了智能门禁系统的身份验证、通行控制与记录、入侵和紧急报警、呼叫、应急等功能。其中，</w:t>
      </w:r>
      <w:r>
        <w:rPr>
          <w:rFonts w:hint="eastAsia" w:ascii="仿宋_GB2312" w:hAnsi="仿宋_GB2312" w:eastAsia="仿宋_GB2312" w:cs="仿宋_GB2312"/>
          <w:b/>
          <w:sz w:val="28"/>
          <w:szCs w:val="28"/>
        </w:rPr>
        <w:t>通行控制与记录</w:t>
      </w:r>
      <w:r>
        <w:rPr>
          <w:rFonts w:hint="eastAsia" w:ascii="仿宋_GB2312" w:hAnsi="仿宋_GB2312" w:eastAsia="仿宋_GB2312" w:cs="仿宋_GB2312"/>
          <w:sz w:val="28"/>
          <w:szCs w:val="28"/>
        </w:rPr>
        <w:t>的保存期限不少于30天。该时限的确定综合考虑了以下因素：无人驿站作为快递末端服务场所的安全管理需要、视频监控资料保存的行业惯例（通常为30天）、以及《中华人民共和国反恐怖主义法》关于重点目标视频图像信息保存不少于90日的规定在快递末端场景的合理适用。经综合权衡，采取30天作为基本要求，既满足一般安全追溯需求，又不过度增加运营成本。</w:t>
      </w:r>
      <w:r>
        <w:rPr>
          <w:rFonts w:hint="eastAsia" w:ascii="仿宋_GB2312" w:hAnsi="仿宋_GB2312" w:eastAsia="仿宋_GB2312" w:cs="仿宋_GB2312"/>
          <w:b/>
          <w:sz w:val="28"/>
          <w:szCs w:val="28"/>
        </w:rPr>
        <w:t>应急功能</w:t>
      </w:r>
      <w:r>
        <w:rPr>
          <w:rFonts w:hint="eastAsia" w:ascii="仿宋_GB2312" w:hAnsi="仿宋_GB2312" w:eastAsia="仿宋_GB2312" w:cs="仿宋_GB2312"/>
          <w:sz w:val="28"/>
          <w:szCs w:val="28"/>
        </w:rPr>
        <w:t>中“火灾报警联动时自动转为常开状态”“断电断网时保持常闭状态但内部可通过紧急开关手动开门”的要求，旨在平衡消防安全与治安防范的双重需要，参考了GB 50348-2018《安全防范工程技术标准》中关于出入口控制系统应急功能的一般原则。</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（4）安防与监控系统</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本文件规定了视频监控系统和智能安防系统的要求。</w:t>
      </w:r>
      <w:r>
        <w:rPr>
          <w:rFonts w:hint="eastAsia" w:ascii="仿宋_GB2312" w:hAnsi="仿宋_GB2312" w:eastAsia="仿宋_GB2312" w:cs="仿宋_GB2312"/>
          <w:b/>
          <w:sz w:val="28"/>
          <w:szCs w:val="28"/>
        </w:rPr>
        <w:t>视频监控系统</w:t>
      </w:r>
      <w:r>
        <w:rPr>
          <w:rFonts w:hint="eastAsia" w:ascii="仿宋_GB2312" w:hAnsi="仿宋_GB2312" w:eastAsia="仿宋_GB2312" w:cs="仿宋_GB2312"/>
          <w:sz w:val="28"/>
          <w:szCs w:val="28"/>
        </w:rPr>
        <w:t>要求监控范围覆盖驿站所有关键区域，保存期限不少于30天。保存期限的确定依据为GB 50348-2018《安全防范工程技术标准》中关于视频图像存储时间不应少于30天的规定。双向语音功能要求符合GB/T 28181-2016第7.12条的规定。</w:t>
      </w:r>
      <w:r>
        <w:rPr>
          <w:rFonts w:hint="eastAsia" w:ascii="仿宋_GB2312" w:hAnsi="仿宋_GB2312" w:eastAsia="仿宋_GB2312" w:cs="仿宋_GB2312"/>
          <w:b/>
          <w:sz w:val="28"/>
          <w:szCs w:val="28"/>
        </w:rPr>
        <w:t>消防报警</w:t>
      </w:r>
      <w:r>
        <w:rPr>
          <w:rFonts w:hint="eastAsia" w:ascii="仿宋_GB2312" w:hAnsi="仿宋_GB2312" w:eastAsia="仿宋_GB2312" w:cs="仿宋_GB2312"/>
          <w:sz w:val="28"/>
          <w:szCs w:val="28"/>
        </w:rPr>
        <w:t>要求安装烟感检测设备，符合GB 20517和GB 17945的要求，并与门禁、断电装置联动。该要求的提出旨在实现火灾情况下门禁自动开启疏散通道，保障人员安全。</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（5）智能引导系统</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本文件规定了智能引导系统的快递定位、取件指引、响应时间、多指令并行等功能。引导指令计算与下发时间不超过2秒、整体响应时间（从请求到设备动作）不超过3秒的指标，参考了MH/T 4042—2023第5.11.27条关于灯光指令计算延时的规定（2秒）以及用户取件流畅体验的实际需要。</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6、管理要求</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本章从基本要求、收件管理、自助取件管理、设备维护管理、卫生管理、安全与应急管理六个方面提出了运营管理要求</w:t>
      </w:r>
      <w:r>
        <w:rPr>
          <w:rFonts w:hint="eastAsia" w:ascii="仿宋_GB2312" w:hAnsi="仿宋_GB2312" w:eastAsia="仿宋_GB2312" w:cs="仿宋_GB2312"/>
          <w:sz w:val="28"/>
          <w:szCs w:val="28"/>
        </w:rPr>
        <w:t>。</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基本要求：确立了“实名认证、有件进门、取件自由、全程可溯”的原则，要求驿站投入运营前向所在地省级以下邮政管理机构办理快递末端网点备案。备案要求的提出依据为《快递末端网点备案暂行规定》的相关规定；</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（2）收件管理：规定了投递规范和入库操作流程。投递规范要求快递服务组织将快件投递到驿站应事先征得收件人同意，依据为《智能快件箱寄递服务管理办法》第二十二条关于投递前征得用户同意的规定；</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（3）自助取件管理：规定了身份验证和取件流程。身份验证方式宜支持扫码、刷脸、刷卡等多种方式，扫码开门宜绑定手机号实名认证，符合《邮件快件实名收寄管理办法》关于实名收寄的要求；</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（4）设备维护管理：要求建立设施设备维护保养制度，明确维护保养的责任人、周期、内容、方法和记录要求。该要求的提出参考了GA/T 1081-2020《安全防范系统维护保养规范》和GB 50348-2018《安全防范工程技术标准》第6章关于系统运行与维护的规定；</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卫生管理：规定了环境卫生管理、病毒消杀管理和人员卫生管理要求。病毒消杀管理要求“每天进行清洁消毒，在明显位置张贴‘已消毒’标识，并注明消毒日期和时间”，依据为《邮政快递业疫情防控防护指南》中关于营业场所消毒的相关规定；</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（6）安全与应急管理：规定了消防安全管理、应急处置管理和数据安全管理要求。数据安全管理要求按YZ/T 0189-2023《寄递服务用户个人信息保护要求》的规定保护用户信息安全，依据为该标准关于寄递服务用户个人信息收集、存储、使用、删除等全周期管理的相关规定；</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w:t>
      </w:r>
      <w:r>
        <w:rPr>
          <w:rFonts w:hint="eastAsia" w:ascii="仿宋_GB2312" w:hAnsi="仿宋_GB2312" w:eastAsia="仿宋_GB2312" w:cs="仿宋_GB2312"/>
          <w:sz w:val="28"/>
          <w:szCs w:val="28"/>
        </w:rPr>
        <w:t>用户服务与评价</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本章从操作指引、客户支持、包容性服务、评价机制、改进措施五个方面提出要求。</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（1）操作指引和客户支持的要求，参考了YZ/T 0145-2015《快递末端投递服务规范》第5章关于服务公示和第9章关于投诉处理的规定。投诉处理时限“24小时内答复用户，48小时内处理完毕”的确定依据为GB/T 27917.2-2023《快递服务 第2部分：组织要求》关于投诉处理时限的相关规定。</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（2）包容性服务要求考虑老年人、残疾人等特殊群体的使用需求，体现了《中华人民共和国无障碍环境建设法》关于无障碍服务的基本精神，同时符合GB/T 50340-2016《无障碍设计规范》的设计原则。</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评价机制要求每季度采集并分析关键绩效指标（设备完好率、包裹周转率、用户取件平均时长、用户满意度、投诉率等），改进措施要求每年进行一次评审与优化。评价周期和改进周期的确定，参考了快递末端服务管理实践的一般规律和DB 31/T 1539-2025《绿色智慧供应链运营中心建设和管理指南》中关于服务评价的时限要求。</w:t>
      </w:r>
    </w:p>
    <w:p>
      <w:pPr>
        <w:keepNext w:val="0"/>
        <w:keepLines w:val="0"/>
        <w:pageBreakBefore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四、实施本标准效益分析</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本标准</w:t>
      </w:r>
      <w:r>
        <w:rPr>
          <w:rFonts w:hint="eastAsia" w:ascii="仿宋_GB2312" w:hAnsi="仿宋_GB2312" w:eastAsia="仿宋_GB2312" w:cs="仿宋_GB2312"/>
          <w:sz w:val="28"/>
          <w:szCs w:val="28"/>
        </w:rPr>
        <w:t>的</w:t>
      </w:r>
      <w:r>
        <w:rPr>
          <w:rFonts w:hint="eastAsia" w:ascii="仿宋_GB2312" w:hAnsi="仿宋_GB2312" w:eastAsia="仿宋_GB2312" w:cs="仿宋_GB2312"/>
          <w:sz w:val="28"/>
          <w:szCs w:val="28"/>
        </w:rPr>
        <w:t>制定</w:t>
      </w:r>
      <w:r>
        <w:rPr>
          <w:rFonts w:hint="eastAsia" w:ascii="仿宋_GB2312" w:hAnsi="仿宋_GB2312" w:eastAsia="仿宋_GB2312" w:cs="仿宋_GB2312"/>
          <w:sz w:val="28"/>
          <w:szCs w:val="28"/>
        </w:rPr>
        <w:t>与实施</w:t>
      </w:r>
      <w:r>
        <w:rPr>
          <w:rFonts w:hint="eastAsia" w:ascii="仿宋_GB2312" w:hAnsi="仿宋_GB2312" w:eastAsia="仿宋_GB2312" w:cs="仿宋_GB2312"/>
          <w:sz w:val="28"/>
          <w:szCs w:val="28"/>
        </w:rPr>
        <w:t>，预计在经济、社会、安全等方面产生效益：</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经济效益：</w:t>
      </w:r>
      <w:r>
        <w:rPr>
          <w:rFonts w:hint="eastAsia" w:ascii="仿宋_GB2312" w:hAnsi="仿宋_GB2312" w:eastAsia="仿宋_GB2312" w:cs="仿宋_GB2312"/>
          <w:sz w:val="28"/>
          <w:szCs w:val="28"/>
        </w:rPr>
        <w:t>本标准的实施将有效规范无人值守快递驿站的建设标准和服务质量，减少因重复建设和设备不兼容造成的资源浪费，降低快递末端配送成本。通过明确设施设备的配置要求和系统功能规范，有助于推动快递末端服务的规模化、标准化发展，提高快递末端投递效率，降低人力成本，促进快递服务组织的集约化运营</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社会效益：</w:t>
      </w:r>
      <w:r>
        <w:rPr>
          <w:rFonts w:hint="eastAsia" w:ascii="仿宋_GB2312" w:hAnsi="仿宋_GB2312" w:eastAsia="仿宋_GB2312" w:cs="仿宋_GB2312"/>
          <w:sz w:val="28"/>
          <w:szCs w:val="28"/>
        </w:rPr>
        <w:t>无人值守快递驿站作为快递末端服务的新模式，能够有效解决“最后100米”投递难题，满足用户24小时自助取件的需求，提升用户服务体验。本标准的实施将为无人驿站的建设和管理提供统一的技术依据，保障用户取件的便捷性和安全性，促进快递末端服务的规范化和普惠化，特别是通过包容性服务要求，为老年人、残疾人等特殊群体提供便利，体现了社会公平和人文关怀。</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安全效益：</w:t>
      </w:r>
      <w:r>
        <w:rPr>
          <w:rFonts w:hint="eastAsia" w:ascii="仿宋_GB2312" w:hAnsi="仿宋_GB2312" w:eastAsia="仿宋_GB2312" w:cs="仿宋_GB2312"/>
          <w:sz w:val="28"/>
          <w:szCs w:val="28"/>
        </w:rPr>
        <w:t>本文件在消防安全、用电安全、治安防范、信息安全等方面提出了明确要求，通过规范视频监控系统、门禁系统、消防报警系统、数据安全保护等关键安全设施的配置和功能，能够有效预防和减少安全事故的发生，保障用户人身安全和快件安全，维护社会公共安全。</w:t>
      </w:r>
    </w:p>
    <w:p>
      <w:pPr>
        <w:keepNext w:val="0"/>
        <w:keepLines w:val="0"/>
        <w:pageBreakBefore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五、采用国际标准和国外先进标准的情况，与国际、国内同类标准水平的对比情况</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1、采用国际标准和国外先进标准的情况</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经检索，目前国际上尚无专门针对无人值守快递驿站的国际标准或国外先进标准。与本文件相关的国际标准主要包括：</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ICAO</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t>Doc 9830</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t>Advanced Surface Movement Guidance and Control Systems Manual》（</w:t>
      </w:r>
      <w:r>
        <w:rPr>
          <w:rFonts w:hint="eastAsia" w:ascii="仿宋_GB2312" w:hAnsi="仿宋_GB2312" w:eastAsia="仿宋_GB2312" w:cs="仿宋_GB2312"/>
          <w:sz w:val="28"/>
          <w:szCs w:val="28"/>
        </w:rPr>
        <w:t>高级地面移动引导与控制系统手册</w:t>
      </w:r>
      <w:r>
        <w:rPr>
          <w:rFonts w:hint="eastAsia" w:ascii="仿宋_GB2312" w:hAnsi="仿宋_GB2312" w:eastAsia="仿宋_GB2312" w:cs="仿宋_GB2312"/>
          <w:sz w:val="28"/>
          <w:szCs w:val="28"/>
        </w:rPr>
        <w:t>），该文件主要面向机场</w:t>
      </w:r>
      <w:r>
        <w:rPr>
          <w:rFonts w:hint="eastAsia" w:ascii="仿宋_GB2312" w:hAnsi="仿宋_GB2312" w:eastAsia="仿宋_GB2312" w:cs="仿宋_GB2312"/>
          <w:sz w:val="28"/>
          <w:szCs w:val="28"/>
        </w:rPr>
        <w:t>地</w:t>
      </w:r>
      <w:r>
        <w:rPr>
          <w:rFonts w:hint="eastAsia" w:ascii="仿宋_GB2312" w:hAnsi="仿宋_GB2312" w:eastAsia="仿宋_GB2312" w:cs="仿宋_GB2312"/>
          <w:sz w:val="28"/>
          <w:szCs w:val="28"/>
        </w:rPr>
        <w:t>面航空器和车辆的引导与控制，其引导服务、路由服务等功能架构对本文件中智能引导系统的设计具有一定的参考价值。本文件在引导设备的响应时间等技术指标的设定上，参考了</w:t>
      </w:r>
      <w:r>
        <w:rPr>
          <w:rFonts w:hint="eastAsia" w:ascii="仿宋_GB2312" w:hAnsi="仿宋_GB2312" w:eastAsia="仿宋_GB2312" w:cs="仿宋_GB2312"/>
          <w:sz w:val="28"/>
          <w:szCs w:val="28"/>
        </w:rPr>
        <w:t xml:space="preserve">中国民用航空局发布的 </w:t>
      </w:r>
      <w:r>
        <w:rPr>
          <w:rFonts w:hint="eastAsia" w:ascii="仿宋_GB2312" w:hAnsi="仿宋_GB2312" w:eastAsia="仿宋_GB2312" w:cs="仿宋_GB2312"/>
          <w:sz w:val="28"/>
          <w:szCs w:val="28"/>
        </w:rPr>
        <w:t>MH/T 4042—2023《高级场面活动引导与控制系统技术规范》的相关规定。</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目前，国际上尚无针对无人值守快递驿站的专门标准。本文件的制定在立足国内快递行业实际的基础上，适当借鉴了相关领域国际标准的技术思路。</w:t>
      </w:r>
    </w:p>
    <w:p>
      <w:pPr>
        <w:keepNext w:val="0"/>
        <w:keepLines w:val="0"/>
        <w:pageBreakBefore w:val="0"/>
        <w:kinsoku/>
        <w:wordWrap/>
        <w:overflowPunct/>
        <w:topLinePunct w:val="0"/>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2、国内已发布的与快递末端服务相关的标准主要包括：</w:t>
      </w:r>
    </w:p>
    <w:p>
      <w:pPr>
        <w:keepNext w:val="0"/>
        <w:keepLines w:val="0"/>
        <w:pageBreakBefore w:val="0"/>
        <w:kinsoku/>
        <w:wordWrap/>
        <w:overflowPunct/>
        <w:topLinePunct w:val="0"/>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YZ/T 0133-2013《智能快件箱》：规定了智能快件箱的总体功能、系统结构、硬件要求、控制系统、操作流程等，适用于智能快件箱的研发、生产和使用；</w:t>
      </w:r>
    </w:p>
    <w:p>
      <w:pPr>
        <w:keepNext w:val="0"/>
        <w:keepLines w:val="0"/>
        <w:pageBreakBefore w:val="0"/>
        <w:kinsoku/>
        <w:wordWrap/>
        <w:overflowPunct/>
        <w:topLinePunct w:val="0"/>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GB/T 27917《快递服务》系列标准：规定了快递服务的基本术语、组织要求、服务环节等；</w:t>
      </w:r>
    </w:p>
    <w:p>
      <w:pPr>
        <w:keepNext w:val="0"/>
        <w:keepLines w:val="0"/>
        <w:pageBreakBefore w:val="0"/>
        <w:kinsoku/>
        <w:wordWrap/>
        <w:overflowPunct/>
        <w:topLinePunct w:val="0"/>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YZ/T 0137-2015《快递营业场所设计基本要求》：规定了快递营业场所的选址、分类、功能分区、设施设备、装修和安全等要求；</w:t>
      </w:r>
    </w:p>
    <w:p>
      <w:pPr>
        <w:keepNext w:val="0"/>
        <w:keepLines w:val="0"/>
        <w:pageBreakBefore w:val="0"/>
        <w:kinsoku/>
        <w:wordWrap/>
        <w:overflowPunct/>
        <w:topLinePunct w:val="0"/>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YZ/T 0145-2015《快递末端投递服务规范》：规定了快递末端投递服务的基本要求、服务流程和服务规范。</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上述标准主要面向有人值守的快递营业场所或智能快件箱，对于“无人值守快递驿站”这一集自助取件、智能引导、安防监控、远程客服于一体的新型快递末端服务模式，尚无专门的标准予以规范</w:t>
      </w:r>
      <w:r>
        <w:rPr>
          <w:rFonts w:hint="eastAsia" w:ascii="仿宋_GB2312" w:hAnsi="仿宋_GB2312" w:eastAsia="仿宋_GB2312" w:cs="仿宋_GB2312"/>
          <w:sz w:val="28"/>
          <w:szCs w:val="28"/>
        </w:rPr>
        <w:t>。</w:t>
      </w:r>
    </w:p>
    <w:p>
      <w:pPr>
        <w:keepNext w:val="0"/>
        <w:keepLines w:val="0"/>
        <w:pageBreakBefore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六、与有关的现行法律、法规和强制性国家标准的关系</w:t>
      </w:r>
    </w:p>
    <w:p>
      <w:pPr>
        <w:keepNext w:val="0"/>
        <w:keepLines w:val="0"/>
        <w:pageBreakBefore w:val="0"/>
        <w:kinsoku/>
        <w:wordWrap/>
        <w:overflowPunct/>
        <w:topLinePunct w:val="0"/>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t>与法律法规的关系</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文件遵循了《中华人民共和国邮政法》《快递暂行条例》《智能快件箱寄递服务管理办法》《快递末端网点备案暂行规定》《邮件快件实名收寄管理办法》等法律法规和部门规章的相关要求，在驿站备案、收寄验视、实名收寄、用户信息保护等方面与现行法律法规保持一致</w:t>
      </w:r>
      <w:r>
        <w:rPr>
          <w:rFonts w:hint="eastAsia" w:ascii="仿宋_GB2312" w:hAnsi="仿宋_GB2312" w:eastAsia="仿宋_GB2312" w:cs="仿宋_GB2312"/>
          <w:sz w:val="28"/>
          <w:szCs w:val="28"/>
        </w:rPr>
        <w:t>。</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需要特别说明的是，本文件将无人驿站的功能限定为自助取件和暂存管理，不包含“</w:t>
      </w:r>
      <w:r>
        <w:rPr>
          <w:rFonts w:hint="eastAsia" w:ascii="仿宋_GB2312" w:hAnsi="仿宋_GB2312" w:eastAsia="仿宋_GB2312" w:cs="仿宋_GB2312"/>
          <w:sz w:val="28"/>
          <w:szCs w:val="28"/>
        </w:rPr>
        <w:t>无人</w:t>
      </w:r>
      <w:r>
        <w:rPr>
          <w:rFonts w:hint="eastAsia" w:ascii="仿宋_GB2312" w:hAnsi="仿宋_GB2312" w:eastAsia="仿宋_GB2312" w:cs="仿宋_GB2312"/>
          <w:sz w:val="28"/>
          <w:szCs w:val="28"/>
        </w:rPr>
        <w:t>寄件”服务，寄件功能仅</w:t>
      </w:r>
      <w:r>
        <w:rPr>
          <w:rFonts w:hint="eastAsia" w:ascii="仿宋_GB2312" w:hAnsi="仿宋_GB2312" w:eastAsia="仿宋_GB2312" w:cs="仿宋_GB2312"/>
          <w:sz w:val="28"/>
          <w:szCs w:val="28"/>
        </w:rPr>
        <w:t>限有人值守时段开放。</w:t>
      </w:r>
      <w:r>
        <w:rPr>
          <w:rFonts w:hint="eastAsia" w:ascii="仿宋_GB2312" w:hAnsi="仿宋_GB2312" w:eastAsia="仿宋_GB2312" w:cs="仿宋_GB2312"/>
          <w:sz w:val="28"/>
          <w:szCs w:val="28"/>
        </w:rPr>
        <w:t>这一规定符合《中华人民共和国邮政法》《快递暂行条例》关于收寄验视、实名收寄等要求，避免了无人场景下寄件环节难以有效实施验视和实名查验的问题。</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2、与强制性国家标准的关系</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本文件引用了以下强制性国家标准或其中的强制性条款：</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GB 17945《消防应急照明和疏散指示系统》：涉及驿站疏散通道的应急照明和疏散指示标志要求；</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GB 20517《独立式感烟火灾探测报警器》：涉及驿站烟雾探测设备的要求。</w:t>
      </w:r>
    </w:p>
    <w:p>
      <w:pPr>
        <w:pStyle w:val="15"/>
        <w:keepNext w:val="0"/>
        <w:keepLines w:val="0"/>
        <w:pageBreakBefore w:val="0"/>
        <w:kinsoku/>
        <w:wordWrap/>
        <w:overflowPunct/>
        <w:topLinePunct w:val="0"/>
        <w:bidi w:val="0"/>
        <w:adjustRightInd/>
        <w:snapToGrid/>
        <w:spacing w:line="560" w:lineRule="exact"/>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本文件的技术内容与上述强制性国家标准的要求协调一致，不存在冲突或矛盾。本文件的其他技术内容均为推荐性要求，符合地方标准定位。</w:t>
      </w:r>
    </w:p>
    <w:p>
      <w:pPr>
        <w:keepNext w:val="0"/>
        <w:keepLines w:val="0"/>
        <w:pageBreakBefore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七、重大分歧意见的处理经过和依据</w:t>
      </w:r>
    </w:p>
    <w:p>
      <w:pPr>
        <w:keepNext w:val="0"/>
        <w:keepLines w:val="0"/>
        <w:pageBreakBefore w:val="0"/>
        <w:kinsoku/>
        <w:wordWrap/>
        <w:overflowPunct/>
        <w:topLinePunct w:val="0"/>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无。</w:t>
      </w:r>
    </w:p>
    <w:p>
      <w:pPr>
        <w:keepNext w:val="0"/>
        <w:keepLines w:val="0"/>
        <w:pageBreakBefore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八、贯彻标准的要求和措施建议</w:t>
      </w:r>
    </w:p>
    <w:p>
      <w:pPr>
        <w:keepNext w:val="0"/>
        <w:keepLines w:val="0"/>
        <w:pageBreakBefore w:val="0"/>
        <w:kinsoku/>
        <w:wordWrap/>
        <w:overflowPunct/>
        <w:topLinePunct w:val="0"/>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为了贯彻</w:t>
      </w:r>
      <w:r>
        <w:rPr>
          <w:rFonts w:hint="eastAsia" w:ascii="仿宋_GB2312" w:hAnsi="仿宋_GB2312" w:eastAsia="仿宋_GB2312" w:cs="仿宋_GB2312"/>
          <w:sz w:val="28"/>
          <w:szCs w:val="28"/>
        </w:rPr>
        <w:t>实施本标准，</w:t>
      </w:r>
      <w:r>
        <w:rPr>
          <w:rFonts w:hint="eastAsia" w:ascii="仿宋_GB2312" w:hAnsi="仿宋_GB2312" w:eastAsia="仿宋_GB2312" w:cs="仿宋_GB2312"/>
          <w:sz w:val="28"/>
          <w:szCs w:val="28"/>
        </w:rPr>
        <w:t>建议省快递</w:t>
      </w:r>
      <w:r>
        <w:rPr>
          <w:rFonts w:hint="eastAsia" w:ascii="仿宋_GB2312" w:hAnsi="仿宋_GB2312" w:eastAsia="仿宋_GB2312" w:cs="仿宋_GB2312"/>
          <w:sz w:val="28"/>
          <w:szCs w:val="28"/>
        </w:rPr>
        <w:t>行政主管部门在标准发布后有针对性地开展</w:t>
      </w:r>
      <w:r>
        <w:rPr>
          <w:rFonts w:hint="eastAsia" w:ascii="仿宋_GB2312" w:hAnsi="仿宋_GB2312" w:eastAsia="仿宋_GB2312" w:cs="仿宋_GB2312"/>
          <w:sz w:val="28"/>
          <w:szCs w:val="28"/>
        </w:rPr>
        <w:t>该标准的</w:t>
      </w:r>
      <w:r>
        <w:rPr>
          <w:rFonts w:hint="eastAsia" w:ascii="仿宋_GB2312" w:hAnsi="仿宋_GB2312" w:eastAsia="仿宋_GB2312" w:cs="仿宋_GB2312"/>
          <w:sz w:val="28"/>
          <w:szCs w:val="28"/>
        </w:rPr>
        <w:t>集中宣贯和培训</w:t>
      </w:r>
      <w:r>
        <w:rPr>
          <w:rFonts w:hint="eastAsia" w:ascii="仿宋_GB2312" w:hAnsi="仿宋_GB2312" w:eastAsia="仿宋_GB2312" w:cs="仿宋_GB2312"/>
          <w:sz w:val="28"/>
          <w:szCs w:val="28"/>
        </w:rPr>
        <w:t>活动</w:t>
      </w:r>
      <w:r>
        <w:rPr>
          <w:rFonts w:hint="eastAsia" w:ascii="仿宋_GB2312" w:hAnsi="仿宋_GB2312" w:eastAsia="仿宋_GB2312" w:cs="仿宋_GB2312"/>
          <w:sz w:val="28"/>
          <w:szCs w:val="28"/>
        </w:rPr>
        <w:t>，使各方充分理解和掌握标准的技术内容和实施要求。同时，</w:t>
      </w:r>
      <w:r>
        <w:rPr>
          <w:rFonts w:hint="eastAsia" w:ascii="仿宋_GB2312" w:hAnsi="仿宋_GB2312" w:eastAsia="仿宋_GB2312" w:cs="仿宋_GB2312"/>
          <w:sz w:val="28"/>
          <w:szCs w:val="28"/>
        </w:rPr>
        <w:t>鼓励</w:t>
      </w:r>
      <w:r>
        <w:rPr>
          <w:rFonts w:hint="eastAsia" w:ascii="仿宋_GB2312" w:hAnsi="仿宋_GB2312" w:eastAsia="仿宋_GB2312" w:cs="仿宋_GB2312"/>
          <w:sz w:val="28"/>
          <w:szCs w:val="28"/>
        </w:rPr>
        <w:t>寄递企业对无人值守快递驿站的设施设备</w:t>
      </w:r>
      <w:r>
        <w:rPr>
          <w:rFonts w:hint="eastAsia" w:ascii="仿宋_GB2312" w:hAnsi="仿宋_GB2312" w:eastAsia="仿宋_GB2312" w:cs="仿宋_GB2312"/>
          <w:sz w:val="28"/>
          <w:szCs w:val="28"/>
        </w:rPr>
        <w:t>进行</w:t>
      </w:r>
      <w:r>
        <w:rPr>
          <w:rFonts w:hint="eastAsia" w:ascii="仿宋_GB2312" w:hAnsi="仿宋_GB2312" w:eastAsia="仿宋_GB2312" w:cs="仿宋_GB2312"/>
          <w:sz w:val="28"/>
          <w:szCs w:val="28"/>
        </w:rPr>
        <w:t>改造升级，积极推动无人值守快递驿站试点</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t>并制定配套的技术</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rPr>
        <w:t>管理、监督标准。</w:t>
      </w:r>
    </w:p>
    <w:p>
      <w:pPr>
        <w:keepNext w:val="0"/>
        <w:keepLines w:val="0"/>
        <w:pageBreakBefore w:val="0"/>
        <w:kinsoku/>
        <w:wordWrap/>
        <w:overflowPunct/>
        <w:topLinePunct w:val="0"/>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随着无人值守快递驿站技术的不断发展和运营模式的持续创新，建议标准起草单位持续跟踪行业技术发展动态，适时对本标准进行修订完善，确保标准的技术内容始终保持先进性和适用性。</w:t>
      </w:r>
    </w:p>
    <w:p>
      <w:pPr>
        <w:keepNext w:val="0"/>
        <w:keepLines w:val="0"/>
        <w:pageBreakBefore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九、废止现行有关标准的建议</w:t>
      </w:r>
    </w:p>
    <w:p>
      <w:pPr>
        <w:keepNext w:val="0"/>
        <w:keepLines w:val="0"/>
        <w:pageBreakBefore w:val="0"/>
        <w:kinsoku/>
        <w:wordWrap/>
        <w:overflowPunct/>
        <w:topLinePunct w:val="0"/>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无。</w:t>
      </w:r>
    </w:p>
    <w:p>
      <w:pPr>
        <w:keepNext w:val="0"/>
        <w:keepLines w:val="0"/>
        <w:pageBreakBefore w:val="0"/>
        <w:kinsoku/>
        <w:wordWrap/>
        <w:overflowPunct/>
        <w:topLinePunct w:val="0"/>
        <w:bidi w:val="0"/>
        <w:adjustRightInd/>
        <w:snapToGrid/>
        <w:spacing w:line="560" w:lineRule="exact"/>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十、其他应予说明的事项</w:t>
      </w:r>
    </w:p>
    <w:p>
      <w:pPr>
        <w:keepNext w:val="0"/>
        <w:keepLines w:val="0"/>
        <w:pageBreakBefore w:val="0"/>
        <w:kinsoku/>
        <w:wordWrap/>
        <w:overflowPunct/>
        <w:topLinePunct w:val="0"/>
        <w:bidi w:val="0"/>
        <w:adjustRightInd/>
        <w:snapToGrid/>
        <w:spacing w:line="56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无。</w:t>
      </w:r>
    </w:p>
    <w:sectPr>
      <w:pgSz w:w="11906" w:h="16838"/>
      <w:pgMar w:top="1440" w:right="1800" w:bottom="1440" w:left="1800" w:header="851" w:footer="992" w:gutter="0"/>
      <w:cols w:space="425"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EA4BD2"/>
    <w:multiLevelType w:val="multilevel"/>
    <w:tmpl w:val="33EA4BD2"/>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pStyle w:val="27"/>
      <w:lvlText w:val="%4."/>
      <w:lvlJc w:val="left"/>
      <w:pPr>
        <w:tabs>
          <w:tab w:val="left" w:pos="2880"/>
        </w:tabs>
        <w:ind w:left="2880" w:hanging="720"/>
      </w:pPr>
    </w:lvl>
    <w:lvl w:ilvl="4" w:tentative="0">
      <w:start w:val="1"/>
      <w:numFmt w:val="decimal"/>
      <w:pStyle w:val="30"/>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1">
    <w:nsid w:val="44C50F90"/>
    <w:multiLevelType w:val="multilevel"/>
    <w:tmpl w:val="44C50F90"/>
    <w:lvl w:ilvl="0" w:tentative="0">
      <w:start w:val="1"/>
      <w:numFmt w:val="lowerLetter"/>
      <w:pStyle w:val="31"/>
      <w:lvlText w:val="%1)"/>
      <w:lvlJc w:val="left"/>
      <w:pPr>
        <w:tabs>
          <w:tab w:val="left" w:pos="851"/>
        </w:tabs>
        <w:ind w:left="851" w:hanging="426"/>
      </w:pPr>
      <w:rPr>
        <w:rFonts w:hint="eastAsia" w:ascii="宋体" w:hAnsi="Times New Roman" w:eastAsia="宋体"/>
        <w:sz w:val="21"/>
      </w:rPr>
    </w:lvl>
    <w:lvl w:ilvl="1" w:tentative="0">
      <w:start w:val="1"/>
      <w:numFmt w:val="decimal"/>
      <w:pStyle w:val="28"/>
      <w:lvlText w:val="%2)"/>
      <w:lvlJc w:val="left"/>
      <w:pPr>
        <w:tabs>
          <w:tab w:val="left" w:pos="1276"/>
        </w:tabs>
        <w:ind w:left="1276" w:hanging="425"/>
      </w:pPr>
      <w:rPr>
        <w:rFonts w:hint="eastAsia" w:ascii="宋体" w:hAnsi="Times New Roman" w:eastAsia="宋体"/>
        <w:sz w:val="21"/>
      </w:rPr>
    </w:lvl>
    <w:lvl w:ilvl="2" w:tentative="0">
      <w:start w:val="1"/>
      <w:numFmt w:val="decimal"/>
      <w:pStyle w:val="29"/>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
    <w:nsid w:val="6CEA2025"/>
    <w:multiLevelType w:val="multilevel"/>
    <w:tmpl w:val="6CEA2025"/>
    <w:lvl w:ilvl="0" w:tentative="0">
      <w:start w:val="1"/>
      <w:numFmt w:val="none"/>
      <w:pStyle w:val="25"/>
      <w:suff w:val="nothing"/>
      <w:lvlText w:val="%1"/>
      <w:lvlJc w:val="left"/>
      <w:pPr>
        <w:ind w:left="0" w:firstLine="0"/>
      </w:pPr>
      <w:rPr>
        <w:rFonts w:hint="eastAsia"/>
      </w:rPr>
    </w:lvl>
    <w:lvl w:ilvl="1" w:tentative="0">
      <w:start w:val="1"/>
      <w:numFmt w:val="decimal"/>
      <w:pStyle w:val="23"/>
      <w:suff w:val="nothing"/>
      <w:lvlText w:val="%1%2　"/>
      <w:lvlJc w:val="left"/>
      <w:pPr>
        <w:ind w:left="0" w:firstLine="0"/>
      </w:pPr>
      <w:rPr>
        <w:rFonts w:hint="eastAsia" w:ascii="黑体" w:eastAsia="黑体"/>
        <w:b w:val="0"/>
        <w:i w:val="0"/>
        <w:sz w:val="21"/>
      </w:rPr>
    </w:lvl>
    <w:lvl w:ilvl="2" w:tentative="0">
      <w:start w:val="1"/>
      <w:numFmt w:val="decimal"/>
      <w:pStyle w:val="24"/>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19"/>
      <w:suff w:val="nothing"/>
      <w:lvlText w:val="%1%2.%3.%4　"/>
      <w:lvlJc w:val="left"/>
      <w:pPr>
        <w:ind w:left="0" w:firstLine="0"/>
      </w:pPr>
      <w:rPr>
        <w:rFonts w:hint="eastAsia" w:ascii="黑体" w:eastAsia="黑体"/>
        <w:b w:val="0"/>
        <w:i w:val="0"/>
        <w:sz w:val="21"/>
      </w:rPr>
    </w:lvl>
    <w:lvl w:ilvl="4" w:tentative="0">
      <w:start w:val="1"/>
      <w:numFmt w:val="upperLetter"/>
      <w:lvlText w:val="%5."/>
      <w:lvlJc w:val="left"/>
      <w:pPr>
        <w:ind w:left="0" w:firstLine="0"/>
      </w:pPr>
      <w:rPr>
        <w:rFonts w:hint="eastAsia"/>
        <w:b w:val="0"/>
        <w:i w:val="0"/>
        <w:sz w:val="21"/>
      </w:rPr>
    </w:lvl>
    <w:lvl w:ilvl="5" w:tentative="0">
      <w:start w:val="1"/>
      <w:numFmt w:val="decimal"/>
      <w:pStyle w:val="21"/>
      <w:suff w:val="nothing"/>
      <w:lvlText w:val="%1%2.%3.%4.%5.%6　"/>
      <w:lvlJc w:val="left"/>
      <w:pPr>
        <w:ind w:left="0" w:firstLine="0"/>
      </w:pPr>
      <w:rPr>
        <w:rFonts w:hint="eastAsia" w:ascii="黑体" w:eastAsia="黑体"/>
        <w:b w:val="0"/>
        <w:i w:val="0"/>
        <w:sz w:val="21"/>
      </w:rPr>
    </w:lvl>
    <w:lvl w:ilvl="6" w:tentative="0">
      <w:start w:val="1"/>
      <w:numFmt w:val="decimal"/>
      <w:pStyle w:val="22"/>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xZjdiY2JiZTdjNWVhYjEwZjEwMzljM2ZkOGY4M2YifQ=="/>
  </w:docVars>
  <w:rsids>
    <w:rsidRoot w:val="00767FF5"/>
    <w:rsid w:val="00001571"/>
    <w:rsid w:val="00001828"/>
    <w:rsid w:val="000023CA"/>
    <w:rsid w:val="00006A09"/>
    <w:rsid w:val="00010D10"/>
    <w:rsid w:val="00012BBB"/>
    <w:rsid w:val="0001368F"/>
    <w:rsid w:val="00015810"/>
    <w:rsid w:val="0002385F"/>
    <w:rsid w:val="00027DA3"/>
    <w:rsid w:val="000315D6"/>
    <w:rsid w:val="000319CE"/>
    <w:rsid w:val="00032A89"/>
    <w:rsid w:val="00032C61"/>
    <w:rsid w:val="00035249"/>
    <w:rsid w:val="000478F4"/>
    <w:rsid w:val="000521C9"/>
    <w:rsid w:val="00054B03"/>
    <w:rsid w:val="00055BE1"/>
    <w:rsid w:val="000563C0"/>
    <w:rsid w:val="00056654"/>
    <w:rsid w:val="000570A1"/>
    <w:rsid w:val="00060BB7"/>
    <w:rsid w:val="00072667"/>
    <w:rsid w:val="00073253"/>
    <w:rsid w:val="00077F9F"/>
    <w:rsid w:val="00080A32"/>
    <w:rsid w:val="0008480A"/>
    <w:rsid w:val="00087162"/>
    <w:rsid w:val="00094314"/>
    <w:rsid w:val="000951C0"/>
    <w:rsid w:val="000A00B0"/>
    <w:rsid w:val="000A0E5A"/>
    <w:rsid w:val="000A3076"/>
    <w:rsid w:val="000A4930"/>
    <w:rsid w:val="000A493D"/>
    <w:rsid w:val="000A4BBF"/>
    <w:rsid w:val="000B0CB6"/>
    <w:rsid w:val="000B5F05"/>
    <w:rsid w:val="000B783E"/>
    <w:rsid w:val="000C1F37"/>
    <w:rsid w:val="000C6E9E"/>
    <w:rsid w:val="000D0138"/>
    <w:rsid w:val="000D13A4"/>
    <w:rsid w:val="000D4126"/>
    <w:rsid w:val="000D4630"/>
    <w:rsid w:val="000E18D9"/>
    <w:rsid w:val="000E1F74"/>
    <w:rsid w:val="000E6B13"/>
    <w:rsid w:val="000F28E9"/>
    <w:rsid w:val="000F2B27"/>
    <w:rsid w:val="000F507B"/>
    <w:rsid w:val="000F644B"/>
    <w:rsid w:val="000F76AE"/>
    <w:rsid w:val="001036D8"/>
    <w:rsid w:val="00106BAD"/>
    <w:rsid w:val="00117F02"/>
    <w:rsid w:val="0012209B"/>
    <w:rsid w:val="00126422"/>
    <w:rsid w:val="001319F4"/>
    <w:rsid w:val="001352E3"/>
    <w:rsid w:val="001358D1"/>
    <w:rsid w:val="0013634F"/>
    <w:rsid w:val="001371DF"/>
    <w:rsid w:val="00146FF0"/>
    <w:rsid w:val="00151826"/>
    <w:rsid w:val="00153107"/>
    <w:rsid w:val="00153BEC"/>
    <w:rsid w:val="00154CD0"/>
    <w:rsid w:val="001566C6"/>
    <w:rsid w:val="0016503A"/>
    <w:rsid w:val="00165D1E"/>
    <w:rsid w:val="001726C0"/>
    <w:rsid w:val="00174A67"/>
    <w:rsid w:val="0018158F"/>
    <w:rsid w:val="00181AC1"/>
    <w:rsid w:val="00184873"/>
    <w:rsid w:val="00185A27"/>
    <w:rsid w:val="00192948"/>
    <w:rsid w:val="001C3115"/>
    <w:rsid w:val="001C4F6E"/>
    <w:rsid w:val="001C5459"/>
    <w:rsid w:val="001D454D"/>
    <w:rsid w:val="001D7A0A"/>
    <w:rsid w:val="001D7F9E"/>
    <w:rsid w:val="001E4617"/>
    <w:rsid w:val="001E7F87"/>
    <w:rsid w:val="001F008B"/>
    <w:rsid w:val="001F26D9"/>
    <w:rsid w:val="001F55C6"/>
    <w:rsid w:val="001F6D2B"/>
    <w:rsid w:val="00201E25"/>
    <w:rsid w:val="0021035B"/>
    <w:rsid w:val="002107DB"/>
    <w:rsid w:val="00212761"/>
    <w:rsid w:val="00213D17"/>
    <w:rsid w:val="00224C69"/>
    <w:rsid w:val="002252A1"/>
    <w:rsid w:val="00234AED"/>
    <w:rsid w:val="00236067"/>
    <w:rsid w:val="00241568"/>
    <w:rsid w:val="00242BF9"/>
    <w:rsid w:val="002462E9"/>
    <w:rsid w:val="00252EC3"/>
    <w:rsid w:val="00256D05"/>
    <w:rsid w:val="00256EF3"/>
    <w:rsid w:val="00260A58"/>
    <w:rsid w:val="00265F28"/>
    <w:rsid w:val="0027518D"/>
    <w:rsid w:val="00277D24"/>
    <w:rsid w:val="0028030B"/>
    <w:rsid w:val="002803AD"/>
    <w:rsid w:val="00286209"/>
    <w:rsid w:val="002919F8"/>
    <w:rsid w:val="00294190"/>
    <w:rsid w:val="002A36B9"/>
    <w:rsid w:val="002B2861"/>
    <w:rsid w:val="002C0DB5"/>
    <w:rsid w:val="002C586B"/>
    <w:rsid w:val="002C6121"/>
    <w:rsid w:val="002D2556"/>
    <w:rsid w:val="002D2D4A"/>
    <w:rsid w:val="002E1EF9"/>
    <w:rsid w:val="002E20E2"/>
    <w:rsid w:val="002E524B"/>
    <w:rsid w:val="002E5F8A"/>
    <w:rsid w:val="002E6F37"/>
    <w:rsid w:val="002F22C1"/>
    <w:rsid w:val="002F3D69"/>
    <w:rsid w:val="003056C5"/>
    <w:rsid w:val="00316BC7"/>
    <w:rsid w:val="00322F73"/>
    <w:rsid w:val="00324B4F"/>
    <w:rsid w:val="00325A3F"/>
    <w:rsid w:val="00326ED6"/>
    <w:rsid w:val="00331D48"/>
    <w:rsid w:val="00332C57"/>
    <w:rsid w:val="00334AFB"/>
    <w:rsid w:val="0033503A"/>
    <w:rsid w:val="00341D4B"/>
    <w:rsid w:val="003424CA"/>
    <w:rsid w:val="00342B36"/>
    <w:rsid w:val="003467BF"/>
    <w:rsid w:val="0035228D"/>
    <w:rsid w:val="00356D46"/>
    <w:rsid w:val="00357F7D"/>
    <w:rsid w:val="00364393"/>
    <w:rsid w:val="003734C8"/>
    <w:rsid w:val="003755AD"/>
    <w:rsid w:val="00377C1A"/>
    <w:rsid w:val="003826D4"/>
    <w:rsid w:val="003828B5"/>
    <w:rsid w:val="00383AA2"/>
    <w:rsid w:val="00384CD6"/>
    <w:rsid w:val="00390C25"/>
    <w:rsid w:val="00391CE4"/>
    <w:rsid w:val="0039352A"/>
    <w:rsid w:val="003953A2"/>
    <w:rsid w:val="00397446"/>
    <w:rsid w:val="003A22DB"/>
    <w:rsid w:val="003A5638"/>
    <w:rsid w:val="003A5729"/>
    <w:rsid w:val="003A5C83"/>
    <w:rsid w:val="003A64D9"/>
    <w:rsid w:val="003B0593"/>
    <w:rsid w:val="003B17DB"/>
    <w:rsid w:val="003B22CB"/>
    <w:rsid w:val="003B4E4C"/>
    <w:rsid w:val="003B5459"/>
    <w:rsid w:val="003C1F16"/>
    <w:rsid w:val="003D185B"/>
    <w:rsid w:val="003D2434"/>
    <w:rsid w:val="003D3E5C"/>
    <w:rsid w:val="003D4DD5"/>
    <w:rsid w:val="003D5B94"/>
    <w:rsid w:val="003D7A89"/>
    <w:rsid w:val="003E256F"/>
    <w:rsid w:val="003E29B1"/>
    <w:rsid w:val="003E44CA"/>
    <w:rsid w:val="003E53F0"/>
    <w:rsid w:val="003E6E6F"/>
    <w:rsid w:val="003F0508"/>
    <w:rsid w:val="00402AA2"/>
    <w:rsid w:val="00403BF4"/>
    <w:rsid w:val="00403C62"/>
    <w:rsid w:val="00405980"/>
    <w:rsid w:val="00426C5C"/>
    <w:rsid w:val="0043015A"/>
    <w:rsid w:val="00434660"/>
    <w:rsid w:val="004346AE"/>
    <w:rsid w:val="00437241"/>
    <w:rsid w:val="004424C3"/>
    <w:rsid w:val="00445A72"/>
    <w:rsid w:val="00445DEF"/>
    <w:rsid w:val="00447F01"/>
    <w:rsid w:val="00457AA0"/>
    <w:rsid w:val="00461D04"/>
    <w:rsid w:val="00462F32"/>
    <w:rsid w:val="00480262"/>
    <w:rsid w:val="00492577"/>
    <w:rsid w:val="0049471B"/>
    <w:rsid w:val="004974A2"/>
    <w:rsid w:val="00497D03"/>
    <w:rsid w:val="004A2390"/>
    <w:rsid w:val="004A3DB6"/>
    <w:rsid w:val="004A4413"/>
    <w:rsid w:val="004A4AAB"/>
    <w:rsid w:val="004B4AC6"/>
    <w:rsid w:val="004C6723"/>
    <w:rsid w:val="004C75ED"/>
    <w:rsid w:val="004D0F7D"/>
    <w:rsid w:val="004D4959"/>
    <w:rsid w:val="004E1951"/>
    <w:rsid w:val="004E246A"/>
    <w:rsid w:val="004E2B13"/>
    <w:rsid w:val="004E46C9"/>
    <w:rsid w:val="004E4A8B"/>
    <w:rsid w:val="004E4F12"/>
    <w:rsid w:val="004E6245"/>
    <w:rsid w:val="004E73D3"/>
    <w:rsid w:val="004E7915"/>
    <w:rsid w:val="004F2CEB"/>
    <w:rsid w:val="004F3F7D"/>
    <w:rsid w:val="004F4A49"/>
    <w:rsid w:val="004F6274"/>
    <w:rsid w:val="004F69A3"/>
    <w:rsid w:val="00500DB9"/>
    <w:rsid w:val="00501DA7"/>
    <w:rsid w:val="0050387B"/>
    <w:rsid w:val="0050684E"/>
    <w:rsid w:val="0051488C"/>
    <w:rsid w:val="00515215"/>
    <w:rsid w:val="00516C62"/>
    <w:rsid w:val="00525F9A"/>
    <w:rsid w:val="005270ED"/>
    <w:rsid w:val="00537837"/>
    <w:rsid w:val="00541177"/>
    <w:rsid w:val="00545AC9"/>
    <w:rsid w:val="005518D7"/>
    <w:rsid w:val="00562AC7"/>
    <w:rsid w:val="00563F89"/>
    <w:rsid w:val="005661AB"/>
    <w:rsid w:val="00570575"/>
    <w:rsid w:val="0057078B"/>
    <w:rsid w:val="00571851"/>
    <w:rsid w:val="00571CF2"/>
    <w:rsid w:val="00571F31"/>
    <w:rsid w:val="0058462D"/>
    <w:rsid w:val="00584E91"/>
    <w:rsid w:val="00584F2C"/>
    <w:rsid w:val="005917DA"/>
    <w:rsid w:val="00593C9F"/>
    <w:rsid w:val="00594855"/>
    <w:rsid w:val="00595A09"/>
    <w:rsid w:val="00597361"/>
    <w:rsid w:val="005A02DA"/>
    <w:rsid w:val="005A0BBB"/>
    <w:rsid w:val="005A40FD"/>
    <w:rsid w:val="005A7FF7"/>
    <w:rsid w:val="005C1F44"/>
    <w:rsid w:val="005C3F94"/>
    <w:rsid w:val="005D34C9"/>
    <w:rsid w:val="005D3658"/>
    <w:rsid w:val="005D6A9B"/>
    <w:rsid w:val="005D74DF"/>
    <w:rsid w:val="005E0067"/>
    <w:rsid w:val="005F3AFC"/>
    <w:rsid w:val="005F7E20"/>
    <w:rsid w:val="00600706"/>
    <w:rsid w:val="006035BF"/>
    <w:rsid w:val="00607702"/>
    <w:rsid w:val="00610A5C"/>
    <w:rsid w:val="00611C00"/>
    <w:rsid w:val="006129EB"/>
    <w:rsid w:val="006140C3"/>
    <w:rsid w:val="00616419"/>
    <w:rsid w:val="0062074F"/>
    <w:rsid w:val="006218C3"/>
    <w:rsid w:val="00622852"/>
    <w:rsid w:val="00624F4B"/>
    <w:rsid w:val="00625942"/>
    <w:rsid w:val="00627A8B"/>
    <w:rsid w:val="0063218D"/>
    <w:rsid w:val="0063337A"/>
    <w:rsid w:val="00636BCE"/>
    <w:rsid w:val="00644E47"/>
    <w:rsid w:val="00646A9E"/>
    <w:rsid w:val="006471C8"/>
    <w:rsid w:val="00650226"/>
    <w:rsid w:val="006533B8"/>
    <w:rsid w:val="006535D7"/>
    <w:rsid w:val="0065688C"/>
    <w:rsid w:val="00661A56"/>
    <w:rsid w:val="0066789B"/>
    <w:rsid w:val="0067103A"/>
    <w:rsid w:val="0067546C"/>
    <w:rsid w:val="006804EC"/>
    <w:rsid w:val="00683093"/>
    <w:rsid w:val="00693A1C"/>
    <w:rsid w:val="006A5464"/>
    <w:rsid w:val="006B2B66"/>
    <w:rsid w:val="006B4A39"/>
    <w:rsid w:val="006C3710"/>
    <w:rsid w:val="006C43DC"/>
    <w:rsid w:val="006D4EB2"/>
    <w:rsid w:val="006E146C"/>
    <w:rsid w:val="006E3BD6"/>
    <w:rsid w:val="006E6014"/>
    <w:rsid w:val="006E76A1"/>
    <w:rsid w:val="006F3A16"/>
    <w:rsid w:val="006F4C4A"/>
    <w:rsid w:val="006F534B"/>
    <w:rsid w:val="0070500A"/>
    <w:rsid w:val="007063D4"/>
    <w:rsid w:val="0070748F"/>
    <w:rsid w:val="0070759D"/>
    <w:rsid w:val="007112CD"/>
    <w:rsid w:val="00714A60"/>
    <w:rsid w:val="00720FBC"/>
    <w:rsid w:val="0072197A"/>
    <w:rsid w:val="00722890"/>
    <w:rsid w:val="00724A0F"/>
    <w:rsid w:val="007255BF"/>
    <w:rsid w:val="00727717"/>
    <w:rsid w:val="007315B5"/>
    <w:rsid w:val="00733293"/>
    <w:rsid w:val="0073643A"/>
    <w:rsid w:val="00752E14"/>
    <w:rsid w:val="00764ABA"/>
    <w:rsid w:val="00765E49"/>
    <w:rsid w:val="00765E71"/>
    <w:rsid w:val="00766C9E"/>
    <w:rsid w:val="00767FF5"/>
    <w:rsid w:val="007701EA"/>
    <w:rsid w:val="00770338"/>
    <w:rsid w:val="00770616"/>
    <w:rsid w:val="00770D4D"/>
    <w:rsid w:val="00771212"/>
    <w:rsid w:val="00773CA2"/>
    <w:rsid w:val="007743CE"/>
    <w:rsid w:val="00780B8D"/>
    <w:rsid w:val="007810EE"/>
    <w:rsid w:val="00783A93"/>
    <w:rsid w:val="00783BD9"/>
    <w:rsid w:val="007850C4"/>
    <w:rsid w:val="00794E71"/>
    <w:rsid w:val="007A1D0C"/>
    <w:rsid w:val="007A34C5"/>
    <w:rsid w:val="007B5ACC"/>
    <w:rsid w:val="007C0A50"/>
    <w:rsid w:val="007C28A3"/>
    <w:rsid w:val="007C3493"/>
    <w:rsid w:val="007C50CA"/>
    <w:rsid w:val="007C73B9"/>
    <w:rsid w:val="007C7F0B"/>
    <w:rsid w:val="007D0539"/>
    <w:rsid w:val="007D1421"/>
    <w:rsid w:val="007D1725"/>
    <w:rsid w:val="007E111D"/>
    <w:rsid w:val="007E3963"/>
    <w:rsid w:val="007E515F"/>
    <w:rsid w:val="007E6B9E"/>
    <w:rsid w:val="007E6FBD"/>
    <w:rsid w:val="007E7459"/>
    <w:rsid w:val="007F0414"/>
    <w:rsid w:val="007F38CA"/>
    <w:rsid w:val="007F7075"/>
    <w:rsid w:val="00801459"/>
    <w:rsid w:val="00801B6C"/>
    <w:rsid w:val="00803EDE"/>
    <w:rsid w:val="008060B7"/>
    <w:rsid w:val="008063C1"/>
    <w:rsid w:val="00812E18"/>
    <w:rsid w:val="008144A2"/>
    <w:rsid w:val="00814D5F"/>
    <w:rsid w:val="00817334"/>
    <w:rsid w:val="00822B24"/>
    <w:rsid w:val="00831650"/>
    <w:rsid w:val="00836F69"/>
    <w:rsid w:val="0083773D"/>
    <w:rsid w:val="00840E67"/>
    <w:rsid w:val="0084745A"/>
    <w:rsid w:val="008575B5"/>
    <w:rsid w:val="008577AD"/>
    <w:rsid w:val="0085781D"/>
    <w:rsid w:val="00863D12"/>
    <w:rsid w:val="008665E0"/>
    <w:rsid w:val="00867E56"/>
    <w:rsid w:val="00870243"/>
    <w:rsid w:val="00873289"/>
    <w:rsid w:val="00873294"/>
    <w:rsid w:val="008746D8"/>
    <w:rsid w:val="00874E56"/>
    <w:rsid w:val="00877E3D"/>
    <w:rsid w:val="008843A4"/>
    <w:rsid w:val="00886512"/>
    <w:rsid w:val="0089522D"/>
    <w:rsid w:val="008A5B05"/>
    <w:rsid w:val="008A5FE5"/>
    <w:rsid w:val="008B338D"/>
    <w:rsid w:val="008B412C"/>
    <w:rsid w:val="008B4829"/>
    <w:rsid w:val="008B4E87"/>
    <w:rsid w:val="008B68F3"/>
    <w:rsid w:val="008B7B68"/>
    <w:rsid w:val="008C02DA"/>
    <w:rsid w:val="008D2C68"/>
    <w:rsid w:val="008D3189"/>
    <w:rsid w:val="008D3D8F"/>
    <w:rsid w:val="008D6B2C"/>
    <w:rsid w:val="008D6BB9"/>
    <w:rsid w:val="008E1DB9"/>
    <w:rsid w:val="008E315D"/>
    <w:rsid w:val="008E56FF"/>
    <w:rsid w:val="008E78D9"/>
    <w:rsid w:val="008F5167"/>
    <w:rsid w:val="009005A8"/>
    <w:rsid w:val="00900622"/>
    <w:rsid w:val="00902621"/>
    <w:rsid w:val="00903DD7"/>
    <w:rsid w:val="009047D7"/>
    <w:rsid w:val="00913F40"/>
    <w:rsid w:val="00915337"/>
    <w:rsid w:val="00920779"/>
    <w:rsid w:val="00922CCE"/>
    <w:rsid w:val="009242EC"/>
    <w:rsid w:val="0093247C"/>
    <w:rsid w:val="00933D75"/>
    <w:rsid w:val="00934667"/>
    <w:rsid w:val="00934A6C"/>
    <w:rsid w:val="00937C6A"/>
    <w:rsid w:val="0094105E"/>
    <w:rsid w:val="0096005F"/>
    <w:rsid w:val="009626FA"/>
    <w:rsid w:val="0097199F"/>
    <w:rsid w:val="009750F9"/>
    <w:rsid w:val="00977DCF"/>
    <w:rsid w:val="0098006F"/>
    <w:rsid w:val="009826DD"/>
    <w:rsid w:val="009835E8"/>
    <w:rsid w:val="009836F9"/>
    <w:rsid w:val="00983E08"/>
    <w:rsid w:val="009919F8"/>
    <w:rsid w:val="0099368E"/>
    <w:rsid w:val="00994B89"/>
    <w:rsid w:val="009A0558"/>
    <w:rsid w:val="009A1E19"/>
    <w:rsid w:val="009A3333"/>
    <w:rsid w:val="009A43D2"/>
    <w:rsid w:val="009A71A0"/>
    <w:rsid w:val="009B0881"/>
    <w:rsid w:val="009B4554"/>
    <w:rsid w:val="009C1657"/>
    <w:rsid w:val="009C4FDA"/>
    <w:rsid w:val="009C757A"/>
    <w:rsid w:val="009D17D0"/>
    <w:rsid w:val="009D199F"/>
    <w:rsid w:val="009D49E7"/>
    <w:rsid w:val="009E0288"/>
    <w:rsid w:val="009E4C91"/>
    <w:rsid w:val="009E5B94"/>
    <w:rsid w:val="009E62CA"/>
    <w:rsid w:val="009F2002"/>
    <w:rsid w:val="009F5881"/>
    <w:rsid w:val="00A05310"/>
    <w:rsid w:val="00A07F3D"/>
    <w:rsid w:val="00A10B0B"/>
    <w:rsid w:val="00A13678"/>
    <w:rsid w:val="00A14D90"/>
    <w:rsid w:val="00A2023A"/>
    <w:rsid w:val="00A2425B"/>
    <w:rsid w:val="00A33991"/>
    <w:rsid w:val="00A42908"/>
    <w:rsid w:val="00A43F16"/>
    <w:rsid w:val="00A458C8"/>
    <w:rsid w:val="00A46E47"/>
    <w:rsid w:val="00A532B5"/>
    <w:rsid w:val="00A53335"/>
    <w:rsid w:val="00A63652"/>
    <w:rsid w:val="00A6589A"/>
    <w:rsid w:val="00A65B77"/>
    <w:rsid w:val="00A67D3F"/>
    <w:rsid w:val="00A719BF"/>
    <w:rsid w:val="00A71B08"/>
    <w:rsid w:val="00A72C65"/>
    <w:rsid w:val="00A77657"/>
    <w:rsid w:val="00A8002E"/>
    <w:rsid w:val="00A809F6"/>
    <w:rsid w:val="00A80E07"/>
    <w:rsid w:val="00A83209"/>
    <w:rsid w:val="00A84FCF"/>
    <w:rsid w:val="00A854E0"/>
    <w:rsid w:val="00A9113A"/>
    <w:rsid w:val="00A91751"/>
    <w:rsid w:val="00A92D0C"/>
    <w:rsid w:val="00A9678F"/>
    <w:rsid w:val="00AA3D95"/>
    <w:rsid w:val="00AA5ED3"/>
    <w:rsid w:val="00AB21C4"/>
    <w:rsid w:val="00AB2D62"/>
    <w:rsid w:val="00AB4B2A"/>
    <w:rsid w:val="00AB5BD7"/>
    <w:rsid w:val="00AC75E7"/>
    <w:rsid w:val="00AD1708"/>
    <w:rsid w:val="00AD4306"/>
    <w:rsid w:val="00AE33E9"/>
    <w:rsid w:val="00AE471B"/>
    <w:rsid w:val="00AE7849"/>
    <w:rsid w:val="00AF350C"/>
    <w:rsid w:val="00AF40F7"/>
    <w:rsid w:val="00AF53BD"/>
    <w:rsid w:val="00B01046"/>
    <w:rsid w:val="00B027FE"/>
    <w:rsid w:val="00B141CB"/>
    <w:rsid w:val="00B16FA5"/>
    <w:rsid w:val="00B23203"/>
    <w:rsid w:val="00B23F46"/>
    <w:rsid w:val="00B27571"/>
    <w:rsid w:val="00B3707F"/>
    <w:rsid w:val="00B40082"/>
    <w:rsid w:val="00B41B39"/>
    <w:rsid w:val="00B447CF"/>
    <w:rsid w:val="00B4707E"/>
    <w:rsid w:val="00B57BD8"/>
    <w:rsid w:val="00B61A53"/>
    <w:rsid w:val="00B63108"/>
    <w:rsid w:val="00B6341D"/>
    <w:rsid w:val="00B64DBF"/>
    <w:rsid w:val="00B66C37"/>
    <w:rsid w:val="00B73810"/>
    <w:rsid w:val="00B74824"/>
    <w:rsid w:val="00B8372D"/>
    <w:rsid w:val="00B87E98"/>
    <w:rsid w:val="00B91FF1"/>
    <w:rsid w:val="00B92A07"/>
    <w:rsid w:val="00B96B6C"/>
    <w:rsid w:val="00BA0860"/>
    <w:rsid w:val="00BA1EFA"/>
    <w:rsid w:val="00BA3070"/>
    <w:rsid w:val="00BB0817"/>
    <w:rsid w:val="00BC2C13"/>
    <w:rsid w:val="00BC313E"/>
    <w:rsid w:val="00BD1CB8"/>
    <w:rsid w:val="00BD39E1"/>
    <w:rsid w:val="00BE13FD"/>
    <w:rsid w:val="00BE2704"/>
    <w:rsid w:val="00BE270D"/>
    <w:rsid w:val="00BE39EC"/>
    <w:rsid w:val="00BE4CF4"/>
    <w:rsid w:val="00BE5FF3"/>
    <w:rsid w:val="00BF3A5B"/>
    <w:rsid w:val="00BF44A6"/>
    <w:rsid w:val="00C0031A"/>
    <w:rsid w:val="00C00CAC"/>
    <w:rsid w:val="00C057B6"/>
    <w:rsid w:val="00C06BD6"/>
    <w:rsid w:val="00C07C0D"/>
    <w:rsid w:val="00C10513"/>
    <w:rsid w:val="00C11920"/>
    <w:rsid w:val="00C13AEE"/>
    <w:rsid w:val="00C1632D"/>
    <w:rsid w:val="00C1642A"/>
    <w:rsid w:val="00C24E2A"/>
    <w:rsid w:val="00C25F0B"/>
    <w:rsid w:val="00C30C45"/>
    <w:rsid w:val="00C31144"/>
    <w:rsid w:val="00C36BB8"/>
    <w:rsid w:val="00C36E84"/>
    <w:rsid w:val="00C4301E"/>
    <w:rsid w:val="00C45A26"/>
    <w:rsid w:val="00C52115"/>
    <w:rsid w:val="00C54708"/>
    <w:rsid w:val="00C575EE"/>
    <w:rsid w:val="00C63FC2"/>
    <w:rsid w:val="00C64069"/>
    <w:rsid w:val="00C64690"/>
    <w:rsid w:val="00C65178"/>
    <w:rsid w:val="00C676E2"/>
    <w:rsid w:val="00C70A18"/>
    <w:rsid w:val="00C720FA"/>
    <w:rsid w:val="00C82164"/>
    <w:rsid w:val="00C83D9B"/>
    <w:rsid w:val="00C877F7"/>
    <w:rsid w:val="00C9329A"/>
    <w:rsid w:val="00CA04D9"/>
    <w:rsid w:val="00CA4C1A"/>
    <w:rsid w:val="00CB2730"/>
    <w:rsid w:val="00CC7DAA"/>
    <w:rsid w:val="00CD2CFF"/>
    <w:rsid w:val="00CD43AF"/>
    <w:rsid w:val="00CE66EC"/>
    <w:rsid w:val="00CF15D9"/>
    <w:rsid w:val="00CF4E43"/>
    <w:rsid w:val="00D0055B"/>
    <w:rsid w:val="00D04D2B"/>
    <w:rsid w:val="00D10FF9"/>
    <w:rsid w:val="00D11750"/>
    <w:rsid w:val="00D120B3"/>
    <w:rsid w:val="00D12CBF"/>
    <w:rsid w:val="00D13D49"/>
    <w:rsid w:val="00D25151"/>
    <w:rsid w:val="00D31C97"/>
    <w:rsid w:val="00D35B41"/>
    <w:rsid w:val="00D368B7"/>
    <w:rsid w:val="00D4171A"/>
    <w:rsid w:val="00D54C46"/>
    <w:rsid w:val="00D637F1"/>
    <w:rsid w:val="00D65ACF"/>
    <w:rsid w:val="00D676F4"/>
    <w:rsid w:val="00D71E3F"/>
    <w:rsid w:val="00D749A0"/>
    <w:rsid w:val="00D77B08"/>
    <w:rsid w:val="00D812AD"/>
    <w:rsid w:val="00D82112"/>
    <w:rsid w:val="00D877BB"/>
    <w:rsid w:val="00D9007E"/>
    <w:rsid w:val="00D918FC"/>
    <w:rsid w:val="00D92452"/>
    <w:rsid w:val="00D92EE7"/>
    <w:rsid w:val="00DA0A74"/>
    <w:rsid w:val="00DA14B5"/>
    <w:rsid w:val="00DA19F1"/>
    <w:rsid w:val="00DA7987"/>
    <w:rsid w:val="00DB05DF"/>
    <w:rsid w:val="00DC150B"/>
    <w:rsid w:val="00DC2E48"/>
    <w:rsid w:val="00DC6872"/>
    <w:rsid w:val="00DC6C2F"/>
    <w:rsid w:val="00DD09B6"/>
    <w:rsid w:val="00DD3964"/>
    <w:rsid w:val="00DD4182"/>
    <w:rsid w:val="00DF0D0C"/>
    <w:rsid w:val="00DF1A6C"/>
    <w:rsid w:val="00DF22E6"/>
    <w:rsid w:val="00E00582"/>
    <w:rsid w:val="00E01B78"/>
    <w:rsid w:val="00E033D0"/>
    <w:rsid w:val="00E11383"/>
    <w:rsid w:val="00E154BA"/>
    <w:rsid w:val="00E17CA8"/>
    <w:rsid w:val="00E3083C"/>
    <w:rsid w:val="00E41E49"/>
    <w:rsid w:val="00E4254C"/>
    <w:rsid w:val="00E43011"/>
    <w:rsid w:val="00E47793"/>
    <w:rsid w:val="00E52F92"/>
    <w:rsid w:val="00E5525E"/>
    <w:rsid w:val="00E60174"/>
    <w:rsid w:val="00E62BAD"/>
    <w:rsid w:val="00E63161"/>
    <w:rsid w:val="00E6775C"/>
    <w:rsid w:val="00E706B8"/>
    <w:rsid w:val="00E71C3C"/>
    <w:rsid w:val="00E723EB"/>
    <w:rsid w:val="00E7471B"/>
    <w:rsid w:val="00E86284"/>
    <w:rsid w:val="00E864FD"/>
    <w:rsid w:val="00E87187"/>
    <w:rsid w:val="00E87BDF"/>
    <w:rsid w:val="00E91D93"/>
    <w:rsid w:val="00EA01BD"/>
    <w:rsid w:val="00EA6F6F"/>
    <w:rsid w:val="00EA73C7"/>
    <w:rsid w:val="00EB17C1"/>
    <w:rsid w:val="00EB30A9"/>
    <w:rsid w:val="00EB60C3"/>
    <w:rsid w:val="00EB6F9A"/>
    <w:rsid w:val="00EC3F5F"/>
    <w:rsid w:val="00EC4315"/>
    <w:rsid w:val="00EE3A2E"/>
    <w:rsid w:val="00EE5569"/>
    <w:rsid w:val="00F02C66"/>
    <w:rsid w:val="00F04CEF"/>
    <w:rsid w:val="00F05A25"/>
    <w:rsid w:val="00F1399A"/>
    <w:rsid w:val="00F15473"/>
    <w:rsid w:val="00F15779"/>
    <w:rsid w:val="00F2023A"/>
    <w:rsid w:val="00F20473"/>
    <w:rsid w:val="00F22871"/>
    <w:rsid w:val="00F274A4"/>
    <w:rsid w:val="00F275E6"/>
    <w:rsid w:val="00F300F0"/>
    <w:rsid w:val="00F3119D"/>
    <w:rsid w:val="00F3540F"/>
    <w:rsid w:val="00F443E8"/>
    <w:rsid w:val="00F50002"/>
    <w:rsid w:val="00F57138"/>
    <w:rsid w:val="00F65CB1"/>
    <w:rsid w:val="00F66249"/>
    <w:rsid w:val="00F6779D"/>
    <w:rsid w:val="00F722E1"/>
    <w:rsid w:val="00F7370E"/>
    <w:rsid w:val="00F81E20"/>
    <w:rsid w:val="00F84886"/>
    <w:rsid w:val="00F849CD"/>
    <w:rsid w:val="00F943A1"/>
    <w:rsid w:val="00F95D7E"/>
    <w:rsid w:val="00F968AF"/>
    <w:rsid w:val="00F97B92"/>
    <w:rsid w:val="00FA08B5"/>
    <w:rsid w:val="00FA1C61"/>
    <w:rsid w:val="00FA60BC"/>
    <w:rsid w:val="00FA6BDC"/>
    <w:rsid w:val="00FB08E7"/>
    <w:rsid w:val="00FB2A46"/>
    <w:rsid w:val="00FC24E9"/>
    <w:rsid w:val="00FC7573"/>
    <w:rsid w:val="00FC7D3C"/>
    <w:rsid w:val="00FD1768"/>
    <w:rsid w:val="00FD7B7A"/>
    <w:rsid w:val="00FE19B1"/>
    <w:rsid w:val="00FE45E2"/>
    <w:rsid w:val="00FE5950"/>
    <w:rsid w:val="00FE6BAC"/>
    <w:rsid w:val="00FF0D19"/>
    <w:rsid w:val="00FF4C8F"/>
    <w:rsid w:val="00FF5A0B"/>
    <w:rsid w:val="0FCF0323"/>
    <w:rsid w:val="30955D38"/>
    <w:rsid w:val="7CDFA2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34"/>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7"/>
    <w:semiHidden/>
    <w:unhideWhenUsed/>
    <w:qFormat/>
    <w:uiPriority w:val="99"/>
    <w:pPr>
      <w:adjustRightInd w:val="0"/>
      <w:spacing w:line="400" w:lineRule="exact"/>
      <w:jc w:val="left"/>
    </w:pPr>
    <w:rPr>
      <w:rFonts w:ascii="Calibri" w:hAnsi="Calibri" w:eastAsia="宋体" w:cs="Times New Roman"/>
      <w:szCs w:val="21"/>
    </w:rPr>
  </w:style>
  <w:style w:type="paragraph" w:styleId="4">
    <w:name w:val="Balloon Text"/>
    <w:basedOn w:val="1"/>
    <w:link w:val="18"/>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character" w:styleId="11">
    <w:name w:val="annotation reference"/>
    <w:basedOn w:val="9"/>
    <w:semiHidden/>
    <w:unhideWhenUsed/>
    <w:uiPriority w:val="99"/>
    <w:rPr>
      <w:sz w:val="21"/>
      <w:szCs w:val="21"/>
    </w:rPr>
  </w:style>
  <w:style w:type="character" w:customStyle="1" w:styleId="12">
    <w:name w:val="页眉 Char"/>
    <w:basedOn w:val="9"/>
    <w:link w:val="6"/>
    <w:qFormat/>
    <w:uiPriority w:val="99"/>
    <w:rPr>
      <w:sz w:val="18"/>
      <w:szCs w:val="18"/>
    </w:rPr>
  </w:style>
  <w:style w:type="character" w:customStyle="1" w:styleId="13">
    <w:name w:val="页脚 Char"/>
    <w:basedOn w:val="9"/>
    <w:link w:val="5"/>
    <w:qFormat/>
    <w:uiPriority w:val="99"/>
    <w:rPr>
      <w:sz w:val="18"/>
      <w:szCs w:val="18"/>
    </w:rPr>
  </w:style>
  <w:style w:type="paragraph" w:styleId="14">
    <w:name w:val="List Paragraph"/>
    <w:basedOn w:val="1"/>
    <w:qFormat/>
    <w:uiPriority w:val="34"/>
    <w:pPr>
      <w:ind w:firstLine="420" w:firstLineChars="200"/>
    </w:pPr>
  </w:style>
  <w:style w:type="paragraph" w:customStyle="1" w:styleId="15">
    <w:name w:val="标准文件_段"/>
    <w:link w:val="16"/>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16">
    <w:name w:val="标准文件_段 Char"/>
    <w:link w:val="15"/>
    <w:qFormat/>
    <w:uiPriority w:val="0"/>
    <w:rPr>
      <w:rFonts w:ascii="宋体" w:hAnsi="Times New Roman" w:eastAsia="宋体" w:cs="Times New Roman"/>
      <w:sz w:val="21"/>
    </w:rPr>
  </w:style>
  <w:style w:type="character" w:customStyle="1" w:styleId="17">
    <w:name w:val="批注文字 Char"/>
    <w:basedOn w:val="9"/>
    <w:link w:val="3"/>
    <w:semiHidden/>
    <w:uiPriority w:val="99"/>
    <w:rPr>
      <w:rFonts w:ascii="Calibri" w:hAnsi="Calibri" w:eastAsia="宋体" w:cs="Times New Roman"/>
      <w:kern w:val="2"/>
      <w:sz w:val="21"/>
      <w:szCs w:val="21"/>
    </w:rPr>
  </w:style>
  <w:style w:type="character" w:customStyle="1" w:styleId="18">
    <w:name w:val="批注框文本 Char"/>
    <w:basedOn w:val="9"/>
    <w:link w:val="4"/>
    <w:semiHidden/>
    <w:qFormat/>
    <w:uiPriority w:val="99"/>
    <w:rPr>
      <w:kern w:val="2"/>
      <w:sz w:val="18"/>
      <w:szCs w:val="18"/>
    </w:rPr>
  </w:style>
  <w:style w:type="paragraph" w:customStyle="1" w:styleId="19">
    <w:name w:val="标准文件_二级条标题"/>
    <w:next w:val="15"/>
    <w:qFormat/>
    <w:uiPriority w:val="0"/>
    <w:pPr>
      <w:widowControl w:val="0"/>
      <w:numPr>
        <w:ilvl w:val="3"/>
        <w:numId w:val="1"/>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20">
    <w:name w:val="标准文件_三级条标题"/>
    <w:basedOn w:val="19"/>
    <w:next w:val="15"/>
    <w:qFormat/>
    <w:uiPriority w:val="0"/>
    <w:pPr>
      <w:widowControl/>
      <w:numPr>
        <w:ilvl w:val="0"/>
        <w:numId w:val="0"/>
      </w:numPr>
      <w:outlineLvl w:val="3"/>
    </w:pPr>
  </w:style>
  <w:style w:type="paragraph" w:customStyle="1" w:styleId="21">
    <w:name w:val="标准文件_四级条标题"/>
    <w:next w:val="15"/>
    <w:qFormat/>
    <w:uiPriority w:val="0"/>
    <w:pPr>
      <w:widowControl w:val="0"/>
      <w:numPr>
        <w:ilvl w:val="5"/>
        <w:numId w:val="1"/>
      </w:numPr>
      <w:spacing w:before="50" w:beforeLines="50" w:after="50" w:afterLines="50"/>
      <w:jc w:val="both"/>
      <w:outlineLvl w:val="4"/>
    </w:pPr>
    <w:rPr>
      <w:rFonts w:ascii="黑体" w:hAnsi="Times New Roman" w:eastAsia="黑体" w:cs="Times New Roman"/>
      <w:sz w:val="21"/>
      <w:lang w:val="en-US" w:eastAsia="zh-CN" w:bidi="ar-SA"/>
    </w:rPr>
  </w:style>
  <w:style w:type="paragraph" w:customStyle="1" w:styleId="22">
    <w:name w:val="标准文件_五级条标题"/>
    <w:next w:val="15"/>
    <w:qFormat/>
    <w:uiPriority w:val="0"/>
    <w:pPr>
      <w:widowControl w:val="0"/>
      <w:numPr>
        <w:ilvl w:val="6"/>
        <w:numId w:val="1"/>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23">
    <w:name w:val="标准文件_章标题"/>
    <w:next w:val="15"/>
    <w:qFormat/>
    <w:uiPriority w:val="0"/>
    <w:pPr>
      <w:numPr>
        <w:ilvl w:val="1"/>
        <w:numId w:val="1"/>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24">
    <w:name w:val="标准文件_一级条标题"/>
    <w:basedOn w:val="23"/>
    <w:next w:val="15"/>
    <w:qFormat/>
    <w:uiPriority w:val="0"/>
    <w:pPr>
      <w:numPr>
        <w:ilvl w:val="2"/>
      </w:numPr>
      <w:spacing w:before="50" w:beforeLines="50" w:after="50" w:afterLines="50"/>
      <w:outlineLvl w:val="1"/>
    </w:pPr>
  </w:style>
  <w:style w:type="paragraph" w:customStyle="1" w:styleId="25">
    <w:name w:val="前言标题"/>
    <w:next w:val="1"/>
    <w:qFormat/>
    <w:uiPriority w:val="0"/>
    <w:pPr>
      <w:numPr>
        <w:ilvl w:val="0"/>
        <w:numId w:val="1"/>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26">
    <w:name w:val="标准文件_一级无标题"/>
    <w:basedOn w:val="24"/>
    <w:qFormat/>
    <w:uiPriority w:val="0"/>
    <w:pPr>
      <w:spacing w:before="0" w:beforeLines="0" w:after="0" w:afterLines="0"/>
      <w:outlineLvl w:val="9"/>
    </w:pPr>
    <w:rPr>
      <w:rFonts w:ascii="宋体" w:eastAsia="宋体"/>
    </w:rPr>
  </w:style>
  <w:style w:type="paragraph" w:customStyle="1" w:styleId="27">
    <w:name w:val="标准文件_二级无标题"/>
    <w:basedOn w:val="19"/>
    <w:qFormat/>
    <w:uiPriority w:val="0"/>
    <w:pPr>
      <w:numPr>
        <w:numId w:val="2"/>
      </w:numPr>
      <w:tabs>
        <w:tab w:val="left" w:pos="2880"/>
      </w:tabs>
      <w:spacing w:before="0" w:beforeLines="0" w:after="0" w:afterLines="0"/>
      <w:outlineLvl w:val="9"/>
    </w:pPr>
    <w:rPr>
      <w:rFonts w:ascii="宋体" w:eastAsia="宋体"/>
    </w:rPr>
  </w:style>
  <w:style w:type="paragraph" w:customStyle="1" w:styleId="28">
    <w:name w:val="标准文件_数字编号列项（二级）"/>
    <w:qFormat/>
    <w:uiPriority w:val="0"/>
    <w:pPr>
      <w:numPr>
        <w:ilvl w:val="1"/>
        <w:numId w:val="3"/>
      </w:numPr>
      <w:jc w:val="both"/>
    </w:pPr>
    <w:rPr>
      <w:rFonts w:ascii="宋体" w:hAnsi="Times New Roman" w:eastAsia="宋体" w:cs="Times New Roman"/>
      <w:sz w:val="21"/>
      <w:lang w:val="en-US" w:eastAsia="zh-CN" w:bidi="ar-SA"/>
    </w:rPr>
  </w:style>
  <w:style w:type="paragraph" w:customStyle="1" w:styleId="29">
    <w:name w:val="标准文件_编号列项（三级）"/>
    <w:qFormat/>
    <w:uiPriority w:val="0"/>
    <w:pPr>
      <w:numPr>
        <w:ilvl w:val="2"/>
        <w:numId w:val="3"/>
      </w:numPr>
    </w:pPr>
    <w:rPr>
      <w:rFonts w:ascii="宋体" w:hAnsi="Times New Roman" w:eastAsia="宋体" w:cs="Times New Roman"/>
      <w:sz w:val="21"/>
      <w:lang w:val="en-US" w:eastAsia="zh-CN" w:bidi="ar-SA"/>
    </w:rPr>
  </w:style>
  <w:style w:type="paragraph" w:customStyle="1" w:styleId="30">
    <w:name w:val="标准文件_三级无标题"/>
    <w:basedOn w:val="20"/>
    <w:qFormat/>
    <w:uiPriority w:val="0"/>
    <w:pPr>
      <w:numPr>
        <w:ilvl w:val="4"/>
        <w:numId w:val="2"/>
      </w:numPr>
      <w:spacing w:before="0" w:beforeLines="0" w:after="0" w:afterLines="0"/>
      <w:outlineLvl w:val="9"/>
    </w:pPr>
    <w:rPr>
      <w:rFonts w:ascii="宋体" w:eastAsia="宋体"/>
    </w:rPr>
  </w:style>
  <w:style w:type="paragraph" w:customStyle="1" w:styleId="31">
    <w:name w:val="标准文件_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32">
    <w:name w:val="Default"/>
    <w:qFormat/>
    <w:uiPriority w:val="0"/>
    <w:pPr>
      <w:widowControl w:val="0"/>
      <w:autoSpaceDE w:val="0"/>
      <w:autoSpaceDN w:val="0"/>
      <w:adjustRightInd w:val="0"/>
    </w:pPr>
    <w:rPr>
      <w:rFonts w:ascii="Times New Roman" w:hAnsi="Times New Roman" w:cs="Times New Roman" w:eastAsiaTheme="minorEastAsia"/>
      <w:color w:val="000000"/>
      <w:sz w:val="24"/>
      <w:szCs w:val="24"/>
      <w:lang w:val="en-US" w:eastAsia="zh-CN" w:bidi="ar-SA"/>
    </w:rPr>
  </w:style>
  <w:style w:type="character" w:customStyle="1" w:styleId="33">
    <w:name w:val="gs_tkn"/>
    <w:basedOn w:val="9"/>
    <w:qFormat/>
    <w:uiPriority w:val="0"/>
  </w:style>
  <w:style w:type="character" w:customStyle="1" w:styleId="34">
    <w:name w:val="标题 3 Char"/>
    <w:basedOn w:val="9"/>
    <w:link w:val="2"/>
    <w:qFormat/>
    <w:uiPriority w:val="9"/>
    <w:rPr>
      <w:rFonts w:ascii="宋体" w:hAnsi="宋体" w:eastAsia="宋体" w:cs="宋体"/>
      <w:b/>
      <w:bCs/>
      <w:sz w:val="27"/>
      <w:szCs w:val="27"/>
    </w:rPr>
  </w:style>
  <w:style w:type="paragraph" w:customStyle="1" w:styleId="35">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microsoft.com/office/2006/relationships/keyMapCustomizations" Target="customizations.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20</Pages>
  <Words>9569</Words>
  <Characters>10137</Characters>
  <Lines>73</Lines>
  <Paragraphs>20</Paragraphs>
  <TotalTime>1498</TotalTime>
  <ScaleCrop>false</ScaleCrop>
  <LinksUpToDate>false</LinksUpToDate>
  <CharactersWithSpaces>10206</CharactersWithSpaces>
  <Application>WPS Office_11.8.2.11653_F1E327BC-269C-435d-A152-05C5408002CA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2023-08-24T16:51:00Z</dcterms:created>
  <dc:creator>z b</dc:creator>
  <cp:lastModifiedBy>kylin</cp:lastModifiedBy>
  <cp:lastPrinted>2026-07-13T10:12:52Z</cp:lastPrinted>
  <dcterms:modified xsi:type="dcterms:W3CDTF">2026-07-13T10:14:51Z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2052-11.8.2.11653</vt:lpwstr>
  </property>
  <property fmtid="{D5CDD505-2E9C-101B-9397-08002B2CF9AE}" pid="3" name="ICV">
    <vt:lpwstr>13B466D5646E4B34B867061441A17BE6_12</vt:lpwstr>
  </property>
  <property fmtid="{D5CDD505-2E9C-101B-9397-08002B2CF9AE}" pid="4" name="KSOTemplateDocerSaveRecord">
    <vt:lpwstr>eyJoZGlkIjoiYjRjYWI5ZTY3NTIwMzQwOTc5MTg5NDBhNGU2MDgyYTEiLCJ1c2VySWQiOiI0NzMzMTQwMzAifQ==</vt:lpwstr>
  </property>
</Properties>
</file>